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A0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询价公告</w:t>
      </w:r>
    </w:p>
    <w:p w14:paraId="2B426C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铜峰电子股份有限公司新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一线技改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项目所需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导热油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对外公开询比价</w:t>
      </w:r>
    </w:p>
    <w:p w14:paraId="73088C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2、材料清单：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50"/>
        <w:gridCol w:w="1715"/>
        <w:gridCol w:w="1217"/>
        <w:gridCol w:w="868"/>
        <w:gridCol w:w="1137"/>
        <w:gridCol w:w="775"/>
        <w:gridCol w:w="874"/>
      </w:tblGrid>
      <w:tr w14:paraId="753F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6" w:type="dxa"/>
          </w:tcPr>
          <w:p w14:paraId="5887BBC4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</w:tcPr>
          <w:p w14:paraId="61A60480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15" w:type="dxa"/>
          </w:tcPr>
          <w:p w14:paraId="28B83949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17" w:type="dxa"/>
          </w:tcPr>
          <w:p w14:paraId="1F107B37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68" w:type="dxa"/>
          </w:tcPr>
          <w:p w14:paraId="69F778C8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37" w:type="dxa"/>
          </w:tcPr>
          <w:p w14:paraId="4A81A8B6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775" w:type="dxa"/>
          </w:tcPr>
          <w:p w14:paraId="241304C6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874" w:type="dxa"/>
          </w:tcPr>
          <w:p w14:paraId="20FFBB5A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06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86" w:type="dxa"/>
          </w:tcPr>
          <w:p w14:paraId="21359686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</w:tcPr>
          <w:p w14:paraId="032AB84A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道达尔导热油</w:t>
            </w:r>
          </w:p>
        </w:tc>
        <w:tc>
          <w:tcPr>
            <w:tcW w:w="1715" w:type="dxa"/>
          </w:tcPr>
          <w:p w14:paraId="198C1E18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DBT-200L 200L/桶</w:t>
            </w:r>
          </w:p>
        </w:tc>
        <w:tc>
          <w:tcPr>
            <w:tcW w:w="1217" w:type="dxa"/>
          </w:tcPr>
          <w:p w14:paraId="0A4AF637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桶</w:t>
            </w:r>
          </w:p>
        </w:tc>
        <w:tc>
          <w:tcPr>
            <w:tcW w:w="868" w:type="dxa"/>
          </w:tcPr>
          <w:p w14:paraId="05409882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37" w:type="dxa"/>
          </w:tcPr>
          <w:p w14:paraId="2123FA66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</w:rPr>
            </w:pPr>
          </w:p>
        </w:tc>
        <w:tc>
          <w:tcPr>
            <w:tcW w:w="775" w:type="dxa"/>
          </w:tcPr>
          <w:p w14:paraId="76B2A720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</w:rPr>
            </w:pPr>
          </w:p>
        </w:tc>
        <w:tc>
          <w:tcPr>
            <w:tcW w:w="874" w:type="dxa"/>
          </w:tcPr>
          <w:p w14:paraId="232628F0">
            <w:pPr>
              <w:spacing w:line="20" w:lineRule="atLeast"/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原装进口</w:t>
            </w:r>
          </w:p>
        </w:tc>
      </w:tr>
      <w:tr w14:paraId="0676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2" w:type="dxa"/>
            <w:gridSpan w:val="8"/>
          </w:tcPr>
          <w:p w14:paraId="75F9DC67">
            <w:pPr>
              <w:spacing w:line="20" w:lineRule="atLeast"/>
              <w:rPr>
                <w:rFonts w:hint="default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3"/>
                <w:sz w:val="21"/>
                <w:szCs w:val="21"/>
                <w:vertAlign w:val="baseline"/>
                <w:lang w:val="en-US" w:eastAsia="zh-CN"/>
              </w:rPr>
              <w:t>供货期：6个月。 提供报关证明和原产地证明。含税13%</w:t>
            </w:r>
          </w:p>
        </w:tc>
      </w:tr>
    </w:tbl>
    <w:p w14:paraId="15EB34CA">
      <w:pPr>
        <w:spacing w:line="20" w:lineRule="atLeast"/>
        <w:ind w:firstLine="978" w:firstLineChars="300"/>
        <w:rPr>
          <w:rFonts w:hint="eastAsia" w:asciiTheme="minorEastAsia" w:hAnsiTheme="minorEastAsia" w:eastAsiaTheme="minorEastAsia" w:cstheme="minorEastAsia"/>
          <w:spacing w:val="23"/>
          <w:sz w:val="28"/>
          <w:szCs w:val="28"/>
        </w:rPr>
      </w:pPr>
    </w:p>
    <w:p w14:paraId="6C03E57F"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投标人需要缴纳投标保证金，请开标前电汇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投标保证金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至招标单位指定账号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请投标单位将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投标保证金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汇款凭证打印盖章放到标书里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。截止日期202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 xml:space="preserve"> 年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 xml:space="preserve">18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日，逾期未交，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投标无效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。谢谢合作！</w:t>
      </w:r>
    </w:p>
    <w:p w14:paraId="344DEEB8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中标单位：合同签订后转为履约保证金，货到现场后1个月内退还。</w:t>
      </w:r>
    </w:p>
    <w:p w14:paraId="7339B60D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未中标单位：自开标日期算起，1个月内退还原支付账户。</w:t>
      </w:r>
    </w:p>
    <w:p w14:paraId="2A2E7914">
      <w:pPr>
        <w:adjustRightInd w:val="0"/>
        <w:snapToGrid w:val="0"/>
        <w:spacing w:line="360" w:lineRule="auto"/>
        <w:ind w:left="576" w:hanging="675" w:hangingChars="240"/>
        <w:rPr>
          <w:rFonts w:hint="eastAsia" w:asciiTheme="minorEastAsia" w:hAnsiTheme="minorEastAsia" w:eastAsiaTheme="minorEastAsia" w:cstheme="minorEastAsia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8"/>
          <w:szCs w:val="28"/>
          <w:lang w:val="en-US" w:eastAsia="zh-CN"/>
        </w:rPr>
        <w:t xml:space="preserve">投标保证金 支付账户： </w:t>
      </w:r>
    </w:p>
    <w:p w14:paraId="4CE9257F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公司名称：安徽铜峰电子股份有限公司</w:t>
      </w:r>
    </w:p>
    <w:p w14:paraId="70AAB07B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公司帐号：1308027009022121252</w:t>
      </w:r>
    </w:p>
    <w:p w14:paraId="2DF45476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公司开户行：工行铜陵市石城路支行</w:t>
      </w:r>
    </w:p>
    <w:p w14:paraId="509F77B0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有兴趣的潜在投标人可在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参与本次投标报价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。</w:t>
      </w:r>
    </w:p>
    <w:p w14:paraId="3A3C215C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所有投标文件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应于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202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3 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18  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 13：30  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时(北京时间)之前递交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(邮寄）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到安徽铜峰电子股份有限公司新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一线技改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项目组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联系人处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。</w:t>
      </w:r>
    </w:p>
    <w:p w14:paraId="61327883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定于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202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 3 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 18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午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/>
          <w:lang w:val="en-US" w:eastAsia="zh-CN"/>
        </w:rPr>
        <w:t xml:space="preserve">   13：30   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>时(北京时间)，铜峰办公楼（1号接待室）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公开开标。本次招标不邀请投标的代表出席开标仪式。</w:t>
      </w:r>
    </w:p>
    <w:p w14:paraId="59B69533">
      <w:pPr>
        <w:adjustRightInd w:val="0"/>
        <w:snapToGrid w:val="0"/>
        <w:spacing w:line="360" w:lineRule="auto"/>
        <w:ind w:left="576" w:hanging="576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评标办法：本次报价采取两轮报价，第一轮报价结束后，公布第一轮最低报价，并根据第一轮报价结果选取优势较大的报价单位进入第二轮报价，第二轮报价为最终报价。报价单位的第二轮报价不得高于本单位的第一轮报价。两二轮报价中总价最低中标。</w:t>
      </w:r>
    </w:p>
    <w:p w14:paraId="4E4F4F62">
      <w:pPr>
        <w:adjustRightInd w:val="0"/>
        <w:snapToGrid w:val="0"/>
        <w:spacing w:line="360" w:lineRule="auto"/>
        <w:ind w:left="576" w:hanging="672" w:hangingChars="240"/>
        <w:rPr>
          <w:rFonts w:hint="default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7、付款方式：签订合同后，甲方二周内支付合同总价的30%预付款；发货前甲方支付合同总价的30%提货款；货到现场验收合格后，甲方二周内支付合同总价的30%验收款（付款前，乙方先开具13%的增值税发票）；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导热油使用一年无质量问题，甲方再支付合同总价的10%质保金。支付方式：银行承兑汇票或电汇</w:t>
      </w:r>
    </w:p>
    <w:p w14:paraId="71DA047D">
      <w:pPr>
        <w:adjustRightInd w:val="0"/>
        <w:snapToGrid w:val="0"/>
        <w:spacing w:line="360" w:lineRule="auto"/>
        <w:ind w:left="576" w:hanging="672" w:hangingChars="240"/>
        <w:rPr>
          <w:rFonts w:hint="default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8、签订合同：以铜峰电子合同版本签订采购合同</w:t>
      </w:r>
    </w:p>
    <w:p w14:paraId="785E7B21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9、开标时请投标代表人保持电话畅通。</w:t>
      </w:r>
    </w:p>
    <w:p w14:paraId="3922751A">
      <w:pPr>
        <w:tabs>
          <w:tab w:val="left" w:pos="5670"/>
        </w:tabs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 xml:space="preserve">招标人：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none"/>
        </w:rPr>
        <w:t xml:space="preserve"> 安徽铜峰电子股份有限公司 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ab/>
      </w:r>
    </w:p>
    <w:p w14:paraId="648B37D3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详细地址：安徽省铜陵市经济技术开发区翠湖三路西段399号</w:t>
      </w:r>
    </w:p>
    <w:p w14:paraId="7E924BAE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 xml:space="preserve">联 系 人： 李存峰 </w:t>
      </w:r>
    </w:p>
    <w:p w14:paraId="59E74767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电    话：13655623219</w:t>
      </w:r>
    </w:p>
    <w:p w14:paraId="748B605C">
      <w:pPr>
        <w:adjustRightInd w:val="0"/>
        <w:snapToGrid w:val="0"/>
        <w:spacing w:line="360" w:lineRule="auto"/>
        <w:ind w:left="576" w:hanging="672" w:hangingChars="240"/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>邮    编：244000</w:t>
      </w:r>
    </w:p>
    <w:p w14:paraId="0F6479E3">
      <w:pPr>
        <w:adjustRightInd w:val="0"/>
        <w:snapToGrid w:val="0"/>
        <w:spacing w:line="360" w:lineRule="auto"/>
        <w:ind w:left="576" w:hanging="672" w:hangingChars="240"/>
        <w:rPr>
          <w:rFonts w:asciiTheme="minorEastAsia" w:hAnsiTheme="minorEastAsia" w:eastAsiaTheme="minorEastAsia" w:cstheme="minorEastAsia"/>
          <w:spacing w:val="2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</w:rPr>
        <w:t xml:space="preserve"> E-mail：182434256@qq.co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jQ0OGRiYmI0ZjNiMDdlODFjYjY3N2Q3MGJiZjIifQ=="/>
  </w:docVars>
  <w:rsids>
    <w:rsidRoot w:val="77625099"/>
    <w:rsid w:val="00157B76"/>
    <w:rsid w:val="00A21362"/>
    <w:rsid w:val="00C27282"/>
    <w:rsid w:val="0D1C7D1F"/>
    <w:rsid w:val="111E393A"/>
    <w:rsid w:val="1A0643E8"/>
    <w:rsid w:val="1BDF64D9"/>
    <w:rsid w:val="20F378B1"/>
    <w:rsid w:val="251568FE"/>
    <w:rsid w:val="259F1096"/>
    <w:rsid w:val="29D26D62"/>
    <w:rsid w:val="33C427AD"/>
    <w:rsid w:val="34D4573C"/>
    <w:rsid w:val="3BB4700E"/>
    <w:rsid w:val="3C7D0B7D"/>
    <w:rsid w:val="3DC47A8A"/>
    <w:rsid w:val="3FCC4B35"/>
    <w:rsid w:val="4296227A"/>
    <w:rsid w:val="440C56BC"/>
    <w:rsid w:val="44274B41"/>
    <w:rsid w:val="45C120DB"/>
    <w:rsid w:val="46EE122D"/>
    <w:rsid w:val="4CEE2238"/>
    <w:rsid w:val="4FD952A8"/>
    <w:rsid w:val="508D429E"/>
    <w:rsid w:val="55E219AF"/>
    <w:rsid w:val="60541EE4"/>
    <w:rsid w:val="64DB7AF8"/>
    <w:rsid w:val="68416060"/>
    <w:rsid w:val="6BDD494E"/>
    <w:rsid w:val="6E905543"/>
    <w:rsid w:val="74F3137F"/>
    <w:rsid w:val="776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20"/>
      <w:kern w:val="2"/>
      <w:sz w:val="16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881</Characters>
  <Lines>22</Lines>
  <Paragraphs>6</Paragraphs>
  <TotalTime>17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2018-12-24T10:53:00Z</dcterms:created>
  <dc:creator>Administrator</dc:creator>
  <cp:lastModifiedBy>沉着雄霸</cp:lastModifiedBy>
  <dcterms:modified xsi:type="dcterms:W3CDTF">2025-03-04T05:45:07Z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9593E8C4975F49E6A2E9A0BF9510A543</vt:lpwstr>
  </property>
  <property fmtid="{D5CDD505-2E9C-101B-9397-08002B2CF9AE}" pid="4" name="KSOTemplateDocerSaveRecord">
    <vt:lpwstr>eyJoZGlkIjoiOTMwMjQ0OGRiYmI0ZjNiMDdlODFjYjY3N2Q3MGJiZjIiLCJ1c2VySWQiOiI0NzAwMDM2NTMifQ==</vt:lpwstr>
  </property>
</Properties>
</file>