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1E6A3" w14:textId="6D6045C8" w:rsidR="00716994" w:rsidRDefault="005C4C59" w:rsidP="004C26A8">
      <w:pPr>
        <w:adjustRightInd w:val="0"/>
        <w:snapToGrid w:val="0"/>
        <w:spacing w:line="360" w:lineRule="auto"/>
        <w:rPr>
          <w:rFonts w:ascii="黑体" w:eastAsia="黑体"/>
          <w:sz w:val="28"/>
        </w:rPr>
      </w:pPr>
      <w:r>
        <w:rPr>
          <w:rFonts w:ascii="黑体" w:eastAsia="黑体" w:hint="eastAsia"/>
          <w:sz w:val="28"/>
        </w:rPr>
        <w:t>证券代码：</w:t>
      </w:r>
      <w:r>
        <w:rPr>
          <w:rFonts w:ascii="黑体" w:eastAsia="黑体"/>
          <w:sz w:val="28"/>
        </w:rPr>
        <w:t xml:space="preserve">600237    </w:t>
      </w:r>
      <w:r>
        <w:rPr>
          <w:rFonts w:ascii="黑体" w:eastAsia="黑体" w:hint="eastAsia"/>
          <w:sz w:val="28"/>
        </w:rPr>
        <w:t xml:space="preserve"> </w:t>
      </w:r>
      <w:r>
        <w:rPr>
          <w:rFonts w:ascii="黑体" w:eastAsia="黑体"/>
          <w:sz w:val="28"/>
        </w:rPr>
        <w:t xml:space="preserve"> </w:t>
      </w:r>
      <w:r>
        <w:rPr>
          <w:rFonts w:ascii="黑体" w:eastAsia="黑体" w:hint="eastAsia"/>
          <w:sz w:val="28"/>
        </w:rPr>
        <w:t>证券简称：铜峰电子</w:t>
      </w:r>
      <w:r>
        <w:rPr>
          <w:rFonts w:ascii="黑体" w:eastAsia="黑体"/>
          <w:sz w:val="28"/>
        </w:rPr>
        <w:t xml:space="preserve">   </w:t>
      </w:r>
      <w:r w:rsidR="00052E0A">
        <w:rPr>
          <w:rFonts w:ascii="黑体" w:eastAsia="黑体" w:hint="eastAsia"/>
          <w:sz w:val="28"/>
        </w:rPr>
        <w:t>公告</w:t>
      </w:r>
      <w:r>
        <w:rPr>
          <w:rFonts w:ascii="黑体" w:eastAsia="黑体" w:hint="eastAsia"/>
          <w:sz w:val="28"/>
        </w:rPr>
        <w:t>编号：202</w:t>
      </w:r>
      <w:r w:rsidR="007F4FC0">
        <w:rPr>
          <w:rFonts w:ascii="黑体" w:eastAsia="黑体" w:hint="eastAsia"/>
          <w:sz w:val="28"/>
        </w:rPr>
        <w:t>4</w:t>
      </w:r>
      <w:r w:rsidR="00052E0A">
        <w:rPr>
          <w:rFonts w:ascii="黑体" w:eastAsia="黑体" w:hint="eastAsia"/>
          <w:sz w:val="28"/>
        </w:rPr>
        <w:t>-</w:t>
      </w:r>
      <w:r w:rsidR="004C26A8">
        <w:rPr>
          <w:rFonts w:ascii="黑体" w:eastAsia="黑体" w:hint="eastAsia"/>
          <w:sz w:val="28"/>
        </w:rPr>
        <w:t>024</w:t>
      </w:r>
    </w:p>
    <w:p w14:paraId="2EA9DB6D" w14:textId="77777777" w:rsidR="00716994" w:rsidRDefault="00716994" w:rsidP="004C26A8">
      <w:pPr>
        <w:adjustRightInd w:val="0"/>
        <w:snapToGrid w:val="0"/>
        <w:spacing w:line="360" w:lineRule="auto"/>
        <w:rPr>
          <w:rFonts w:ascii="黑体" w:eastAsia="黑体"/>
          <w:sz w:val="28"/>
        </w:rPr>
      </w:pPr>
    </w:p>
    <w:p w14:paraId="4553A0C4" w14:textId="77777777" w:rsidR="00716994" w:rsidRDefault="005C4C59" w:rsidP="004C26A8">
      <w:pPr>
        <w:adjustRightInd w:val="0"/>
        <w:snapToGrid w:val="0"/>
        <w:spacing w:line="360" w:lineRule="auto"/>
        <w:jc w:val="center"/>
        <w:rPr>
          <w:rFonts w:ascii="黑体" w:eastAsia="黑体"/>
          <w:color w:val="FF0000"/>
          <w:sz w:val="36"/>
        </w:rPr>
      </w:pPr>
      <w:r>
        <w:rPr>
          <w:rFonts w:ascii="黑体" w:eastAsia="黑体" w:hint="eastAsia"/>
          <w:color w:val="FF0000"/>
          <w:sz w:val="36"/>
        </w:rPr>
        <w:t>安徽铜峰电子股份有限公司</w:t>
      </w:r>
    </w:p>
    <w:p w14:paraId="344B5393" w14:textId="59304EA6" w:rsidR="00716994" w:rsidRDefault="00E53FC2" w:rsidP="004C26A8">
      <w:pPr>
        <w:adjustRightInd w:val="0"/>
        <w:snapToGrid w:val="0"/>
        <w:spacing w:line="360" w:lineRule="auto"/>
        <w:jc w:val="center"/>
        <w:rPr>
          <w:rFonts w:ascii="黑体" w:eastAsia="黑体"/>
          <w:color w:val="FF0000"/>
          <w:sz w:val="36"/>
        </w:rPr>
      </w:pPr>
      <w:r w:rsidRPr="00E53FC2">
        <w:rPr>
          <w:rFonts w:ascii="黑体" w:eastAsia="黑体" w:hint="eastAsia"/>
          <w:color w:val="FF0000"/>
          <w:sz w:val="36"/>
        </w:rPr>
        <w:t>关于控股股东无偿划转公司股份的进展公告</w:t>
      </w:r>
    </w:p>
    <w:p w14:paraId="48D1F61C" w14:textId="77777777" w:rsidR="00716994" w:rsidRPr="005F3EE2" w:rsidRDefault="00716994" w:rsidP="004C26A8">
      <w:pPr>
        <w:adjustRightInd w:val="0"/>
        <w:snapToGrid w:val="0"/>
        <w:spacing w:line="360" w:lineRule="auto"/>
        <w:ind w:firstLine="567"/>
        <w:rPr>
          <w:rFonts w:ascii="仿宋_GB2312" w:eastAsia="仿宋_GB2312"/>
          <w:b/>
          <w:sz w:val="28"/>
        </w:rPr>
      </w:pPr>
    </w:p>
    <w:p w14:paraId="39DB637E" w14:textId="77777777" w:rsidR="00716994" w:rsidRDefault="005C4C59" w:rsidP="004C26A8">
      <w:pPr>
        <w:adjustRightInd w:val="0"/>
        <w:snapToGrid w:val="0"/>
        <w:spacing w:line="360" w:lineRule="auto"/>
        <w:ind w:firstLineChars="200" w:firstLine="482"/>
        <w:rPr>
          <w:rFonts w:ascii="宋体" w:hAnsi="宋体"/>
          <w:b/>
          <w:sz w:val="24"/>
        </w:rPr>
      </w:pPr>
      <w:r>
        <w:rPr>
          <w:rFonts w:ascii="宋体" w:hAnsi="宋体" w:hint="eastAsia"/>
          <w:b/>
          <w:sz w:val="24"/>
        </w:rPr>
        <w:t>本公司董事会及全体董事保证本公告内容不存在任何虚假记载、误导性陈述或者重大遗漏，并对其内容的真实性、准确性和完整性承担法律责任。</w:t>
      </w:r>
    </w:p>
    <w:p w14:paraId="44A9A6E0" w14:textId="3F2624F5" w:rsidR="004773E4" w:rsidRPr="00F806F5" w:rsidRDefault="004773E4" w:rsidP="004C26A8">
      <w:pPr>
        <w:widowControl w:val="0"/>
        <w:autoSpaceDE w:val="0"/>
        <w:autoSpaceDN w:val="0"/>
        <w:adjustRightInd w:val="0"/>
        <w:spacing w:line="360" w:lineRule="auto"/>
        <w:rPr>
          <w:rFonts w:ascii="宋体" w:cs="宋体"/>
          <w:color w:val="000000"/>
          <w:sz w:val="24"/>
          <w:szCs w:val="24"/>
        </w:rPr>
      </w:pPr>
    </w:p>
    <w:p w14:paraId="37846B18" w14:textId="77777777" w:rsidR="004A472D" w:rsidRDefault="004A472D" w:rsidP="004C26A8">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重要内容提示：</w:t>
      </w:r>
    </w:p>
    <w:p w14:paraId="6E0D4831" w14:textId="20F9D0CB" w:rsidR="004A472D" w:rsidRDefault="004A472D" w:rsidP="004C26A8">
      <w:pPr>
        <w:pStyle w:val="a7"/>
        <w:adjustRightInd w:val="0"/>
        <w:snapToGrid w:val="0"/>
        <w:spacing w:line="360" w:lineRule="auto"/>
        <w:ind w:left="480" w:firstLineChars="0" w:firstLine="0"/>
        <w:jc w:val="both"/>
        <w:rPr>
          <w:rFonts w:ascii="宋体" w:hAnsi="宋体"/>
          <w:sz w:val="24"/>
          <w:szCs w:val="24"/>
        </w:rPr>
      </w:pPr>
      <w:r>
        <w:rPr>
          <w:rFonts w:asciiTheme="minorEastAsia" w:eastAsiaTheme="minorEastAsia" w:hAnsiTheme="minorEastAsia" w:hint="eastAsia"/>
          <w:sz w:val="24"/>
          <w:szCs w:val="24"/>
        </w:rPr>
        <w:t>●</w:t>
      </w:r>
      <w:r w:rsidR="00825DA0" w:rsidRPr="00825DA0">
        <w:rPr>
          <w:rFonts w:asciiTheme="minorEastAsia" w:eastAsiaTheme="minorEastAsia" w:hAnsiTheme="minorEastAsia" w:hint="eastAsia"/>
          <w:sz w:val="24"/>
          <w:szCs w:val="24"/>
        </w:rPr>
        <w:t>本次国有股权无偿划转的实施将使公司控股股东由</w:t>
      </w:r>
      <w:r w:rsidR="00030FAE" w:rsidRPr="009C2BEC">
        <w:rPr>
          <w:rFonts w:ascii="宋体" w:hAnsi="宋体"/>
          <w:sz w:val="24"/>
          <w:szCs w:val="24"/>
        </w:rPr>
        <w:t>铜陵大江投资控股有限公司</w:t>
      </w:r>
      <w:r w:rsidR="00030FAE" w:rsidRPr="00030FAE">
        <w:rPr>
          <w:rFonts w:asciiTheme="minorEastAsia" w:eastAsiaTheme="minorEastAsia" w:hAnsiTheme="minorEastAsia" w:hint="eastAsia"/>
          <w:sz w:val="24"/>
          <w:szCs w:val="24"/>
        </w:rPr>
        <w:t>（以下简称“大江投资”）</w:t>
      </w:r>
      <w:r w:rsidR="00825DA0" w:rsidRPr="00825DA0">
        <w:rPr>
          <w:rFonts w:asciiTheme="minorEastAsia" w:eastAsiaTheme="minorEastAsia" w:hAnsiTheme="minorEastAsia" w:hint="eastAsia"/>
          <w:sz w:val="24"/>
          <w:szCs w:val="24"/>
        </w:rPr>
        <w:t>变更为</w:t>
      </w:r>
      <w:r w:rsidR="00A81296" w:rsidRPr="00A81296">
        <w:rPr>
          <w:rFonts w:asciiTheme="minorEastAsia" w:eastAsiaTheme="minorEastAsia" w:hAnsiTheme="minorEastAsia" w:hint="eastAsia"/>
          <w:sz w:val="24"/>
          <w:szCs w:val="24"/>
        </w:rPr>
        <w:t>大江投资全资子公司</w:t>
      </w:r>
      <w:r w:rsidR="00030FAE" w:rsidRPr="00030FAE">
        <w:rPr>
          <w:rFonts w:asciiTheme="minorEastAsia" w:eastAsiaTheme="minorEastAsia" w:hAnsiTheme="minorEastAsia" w:hint="eastAsia"/>
          <w:sz w:val="24"/>
          <w:szCs w:val="24"/>
        </w:rPr>
        <w:t>铜陵中旭建设投资有限公司（以下简称“中旭建设”）</w:t>
      </w:r>
      <w:r w:rsidR="00825DA0" w:rsidRPr="00825DA0">
        <w:rPr>
          <w:rFonts w:asciiTheme="minorEastAsia" w:eastAsiaTheme="minorEastAsia" w:hAnsiTheme="minorEastAsia" w:hint="eastAsia"/>
          <w:sz w:val="24"/>
          <w:szCs w:val="24"/>
        </w:rPr>
        <w:t>。本次国有股权无偿划转事宜不会导致公司实际控制人发生变更。</w:t>
      </w:r>
    </w:p>
    <w:p w14:paraId="3564AB10" w14:textId="7CA37BFA" w:rsidR="004A472D" w:rsidRPr="00734E92" w:rsidRDefault="004A472D" w:rsidP="004C26A8">
      <w:pPr>
        <w:widowControl w:val="0"/>
        <w:autoSpaceDE w:val="0"/>
        <w:autoSpaceDN w:val="0"/>
        <w:adjustRightInd w:val="0"/>
        <w:spacing w:line="360" w:lineRule="auto"/>
        <w:ind w:leftChars="200" w:left="400"/>
        <w:jc w:val="both"/>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t>●</w:t>
      </w:r>
      <w:r w:rsidR="00825DA0" w:rsidRPr="00825DA0">
        <w:rPr>
          <w:rFonts w:asciiTheme="minorEastAsia" w:eastAsiaTheme="minorEastAsia" w:hAnsiTheme="minorEastAsia" w:hint="eastAsia"/>
          <w:sz w:val="24"/>
          <w:szCs w:val="24"/>
        </w:rPr>
        <w:t>根据有关法律、法规和规章规定</w:t>
      </w:r>
      <w:r w:rsidR="00825DA0" w:rsidRPr="00734E92">
        <w:rPr>
          <w:rFonts w:asciiTheme="minorEastAsia" w:eastAsiaTheme="minorEastAsia" w:hAnsiTheme="minorEastAsia" w:hint="eastAsia"/>
          <w:color w:val="000000" w:themeColor="text1"/>
          <w:sz w:val="24"/>
          <w:szCs w:val="24"/>
        </w:rPr>
        <w:t>，本次国有股权无偿划转事项尚需</w:t>
      </w:r>
      <w:r w:rsidR="00A17311" w:rsidRPr="00734E92">
        <w:rPr>
          <w:rFonts w:asciiTheme="minorEastAsia" w:eastAsiaTheme="minorEastAsia" w:hAnsiTheme="minorEastAsia" w:hint="eastAsia"/>
          <w:color w:val="000000" w:themeColor="text1"/>
          <w:sz w:val="24"/>
          <w:szCs w:val="24"/>
        </w:rPr>
        <w:t>在中国证券登记结算有限责任公司上海分公司完成过户登记手续并履行相关信息披露程序。</w:t>
      </w:r>
    </w:p>
    <w:p w14:paraId="541484AF" w14:textId="77777777" w:rsidR="00052E0A" w:rsidRDefault="00052E0A" w:rsidP="004C26A8">
      <w:pPr>
        <w:widowControl w:val="0"/>
        <w:autoSpaceDE w:val="0"/>
        <w:autoSpaceDN w:val="0"/>
        <w:adjustRightInd w:val="0"/>
        <w:spacing w:line="360" w:lineRule="auto"/>
        <w:ind w:leftChars="200" w:left="400"/>
        <w:rPr>
          <w:rFonts w:ascii="宋体" w:cs="宋体"/>
          <w:color w:val="000000"/>
          <w:sz w:val="24"/>
          <w:szCs w:val="24"/>
        </w:rPr>
      </w:pPr>
    </w:p>
    <w:p w14:paraId="237521D1" w14:textId="6F224F4E" w:rsidR="00B55C66" w:rsidRDefault="00B55C66" w:rsidP="004C26A8">
      <w:pPr>
        <w:widowControl w:val="0"/>
        <w:adjustRightInd w:val="0"/>
        <w:snapToGrid w:val="0"/>
        <w:spacing w:beforeLines="50" w:before="156" w:line="360" w:lineRule="auto"/>
        <w:ind w:firstLineChars="200" w:firstLine="400"/>
        <w:jc w:val="both"/>
        <w:rPr>
          <w:rFonts w:ascii="宋体" w:hAnsi="宋体"/>
          <w:sz w:val="24"/>
          <w:szCs w:val="24"/>
        </w:rPr>
      </w:pPr>
      <w:r>
        <w:t xml:space="preserve"> </w:t>
      </w:r>
      <w:r w:rsidRPr="00C6659F">
        <w:rPr>
          <w:rFonts w:ascii="黑体" w:eastAsia="黑体" w:hAnsi="黑体" w:hint="eastAsia"/>
          <w:sz w:val="28"/>
          <w:szCs w:val="28"/>
        </w:rPr>
        <w:t>一、本次国有股权无偿划转的基本情况</w:t>
      </w:r>
    </w:p>
    <w:p w14:paraId="3084B204" w14:textId="17410777" w:rsidR="00FF0F73" w:rsidRDefault="00960140" w:rsidP="004C26A8">
      <w:pPr>
        <w:widowControl w:val="0"/>
        <w:adjustRightInd w:val="0"/>
        <w:snapToGrid w:val="0"/>
        <w:spacing w:line="360" w:lineRule="auto"/>
        <w:ind w:firstLineChars="200" w:firstLine="480"/>
        <w:jc w:val="both"/>
        <w:rPr>
          <w:rFonts w:ascii="宋体" w:hAnsi="宋体"/>
          <w:sz w:val="24"/>
          <w:szCs w:val="24"/>
        </w:rPr>
      </w:pPr>
      <w:r w:rsidRPr="00960140">
        <w:rPr>
          <w:rFonts w:ascii="宋体" w:hAnsi="宋体" w:hint="eastAsia"/>
          <w:sz w:val="24"/>
          <w:szCs w:val="24"/>
        </w:rPr>
        <w:t>安徽铜峰电子股份有限公司</w:t>
      </w:r>
      <w:r w:rsidR="001F2E22" w:rsidRPr="001F2E22">
        <w:rPr>
          <w:rFonts w:ascii="宋体" w:hAnsi="宋体" w:hint="eastAsia"/>
          <w:sz w:val="24"/>
          <w:szCs w:val="24"/>
        </w:rPr>
        <w:t>（以下简称“公司”）于20</w:t>
      </w:r>
      <w:r w:rsidR="00151DC1">
        <w:rPr>
          <w:rFonts w:ascii="宋体" w:hAnsi="宋体"/>
          <w:sz w:val="24"/>
          <w:szCs w:val="24"/>
        </w:rPr>
        <w:t>24</w:t>
      </w:r>
      <w:r w:rsidR="001F2E22" w:rsidRPr="001F2E22">
        <w:rPr>
          <w:rFonts w:ascii="宋体" w:hAnsi="宋体" w:hint="eastAsia"/>
          <w:sz w:val="24"/>
          <w:szCs w:val="24"/>
        </w:rPr>
        <w:t>年</w:t>
      </w:r>
      <w:r w:rsidR="00151DC1">
        <w:rPr>
          <w:rFonts w:ascii="宋体" w:hAnsi="宋体"/>
          <w:sz w:val="24"/>
          <w:szCs w:val="24"/>
        </w:rPr>
        <w:t>4</w:t>
      </w:r>
      <w:r w:rsidR="001F2E22" w:rsidRPr="001F2E22">
        <w:rPr>
          <w:rFonts w:ascii="宋体" w:hAnsi="宋体" w:hint="eastAsia"/>
          <w:sz w:val="24"/>
          <w:szCs w:val="24"/>
        </w:rPr>
        <w:t>月</w:t>
      </w:r>
      <w:r w:rsidR="00151DC1" w:rsidRPr="006B620F">
        <w:rPr>
          <w:rFonts w:ascii="宋体" w:hAnsi="宋体"/>
          <w:sz w:val="24"/>
          <w:szCs w:val="24"/>
        </w:rPr>
        <w:t>1</w:t>
      </w:r>
      <w:r w:rsidR="00FF0F73" w:rsidRPr="006B620F">
        <w:rPr>
          <w:rFonts w:ascii="宋体" w:hAnsi="宋体"/>
          <w:sz w:val="24"/>
          <w:szCs w:val="24"/>
        </w:rPr>
        <w:t>1</w:t>
      </w:r>
      <w:r w:rsidR="001F2E22" w:rsidRPr="006B620F">
        <w:rPr>
          <w:rFonts w:ascii="宋体" w:hAnsi="宋体" w:hint="eastAsia"/>
          <w:sz w:val="24"/>
          <w:szCs w:val="24"/>
        </w:rPr>
        <w:t>日</w:t>
      </w:r>
      <w:r w:rsidR="001F2E22" w:rsidRPr="001F2E22">
        <w:rPr>
          <w:rFonts w:ascii="宋体" w:hAnsi="宋体" w:hint="eastAsia"/>
          <w:sz w:val="24"/>
          <w:szCs w:val="24"/>
        </w:rPr>
        <w:t>在上海证券交易所网站刊登了</w:t>
      </w:r>
      <w:r w:rsidR="009F1E18">
        <w:rPr>
          <w:rFonts w:ascii="宋体" w:hAnsi="宋体" w:hint="eastAsia"/>
          <w:sz w:val="24"/>
          <w:szCs w:val="24"/>
        </w:rPr>
        <w:t>《</w:t>
      </w:r>
      <w:r w:rsidR="00FF0F73" w:rsidRPr="00FF0F73">
        <w:rPr>
          <w:rFonts w:ascii="宋体" w:hAnsi="宋体" w:hint="eastAsia"/>
          <w:sz w:val="24"/>
          <w:szCs w:val="24"/>
        </w:rPr>
        <w:t>关于控股股东无偿划转公司股份的提示性公告</w:t>
      </w:r>
      <w:r w:rsidR="001F2E22" w:rsidRPr="001F2E22">
        <w:rPr>
          <w:rFonts w:ascii="宋体" w:hAnsi="宋体" w:hint="eastAsia"/>
          <w:sz w:val="24"/>
          <w:szCs w:val="24"/>
        </w:rPr>
        <w:t>》（20</w:t>
      </w:r>
      <w:r w:rsidR="00FF0F73">
        <w:rPr>
          <w:rFonts w:ascii="宋体" w:hAnsi="宋体"/>
          <w:sz w:val="24"/>
          <w:szCs w:val="24"/>
        </w:rPr>
        <w:t>24</w:t>
      </w:r>
      <w:r w:rsidR="001F2E22" w:rsidRPr="001F2E22">
        <w:rPr>
          <w:rFonts w:ascii="宋体" w:hAnsi="宋体" w:hint="eastAsia"/>
          <w:sz w:val="24"/>
          <w:szCs w:val="24"/>
        </w:rPr>
        <w:t>-</w:t>
      </w:r>
      <w:r w:rsidR="006B620F">
        <w:rPr>
          <w:rFonts w:ascii="宋体" w:hAnsi="宋体"/>
          <w:sz w:val="24"/>
          <w:szCs w:val="24"/>
        </w:rPr>
        <w:t>017</w:t>
      </w:r>
      <w:r w:rsidR="001F2E22" w:rsidRPr="001F2E22">
        <w:rPr>
          <w:rFonts w:ascii="宋体" w:hAnsi="宋体" w:hint="eastAsia"/>
          <w:sz w:val="24"/>
          <w:szCs w:val="24"/>
        </w:rPr>
        <w:t>），</w:t>
      </w:r>
      <w:r w:rsidR="00B8686E" w:rsidRPr="009C2BEC">
        <w:rPr>
          <w:rFonts w:ascii="宋体" w:hAnsi="宋体" w:hint="eastAsia"/>
          <w:sz w:val="24"/>
          <w:szCs w:val="24"/>
        </w:rPr>
        <w:t>公司</w:t>
      </w:r>
      <w:r w:rsidR="009C2BEC" w:rsidRPr="009C2BEC">
        <w:rPr>
          <w:rFonts w:ascii="宋体" w:hAnsi="宋体"/>
          <w:sz w:val="24"/>
          <w:szCs w:val="24"/>
        </w:rPr>
        <w:t>于2024年4月10日收到控股股东铜陵大江投资控股有限公司发来的《关于无偿划转上市公司股份的通知》：大江投资股东安徽西湖投资控股集团有限公司于2024年4月8日做出股东决定，同意将大江投资所持铜峰电子20.44%（128,897,956</w:t>
      </w:r>
      <w:r w:rsidR="00030FAE">
        <w:rPr>
          <w:rFonts w:ascii="宋体" w:hAnsi="宋体"/>
          <w:sz w:val="24"/>
          <w:szCs w:val="24"/>
        </w:rPr>
        <w:t>股）股权无偿划转给大江投资全资子公司铜陵中旭建设投资有限公司</w:t>
      </w:r>
      <w:r w:rsidR="009C2BEC" w:rsidRPr="009C2BEC">
        <w:rPr>
          <w:rFonts w:ascii="宋体" w:hAnsi="宋体"/>
          <w:sz w:val="24"/>
          <w:szCs w:val="24"/>
        </w:rPr>
        <w:t>持有，划转基准日为2023年12月31日。</w:t>
      </w:r>
      <w:r w:rsidR="00C6659F" w:rsidRPr="009C2BEC">
        <w:rPr>
          <w:rFonts w:ascii="宋体" w:hAnsi="宋体" w:hint="eastAsia"/>
          <w:sz w:val="24"/>
          <w:szCs w:val="24"/>
        </w:rPr>
        <w:t>公司的实际控制</w:t>
      </w:r>
      <w:r w:rsidR="00C6659F" w:rsidRPr="00C6659F">
        <w:rPr>
          <w:rFonts w:ascii="宋体" w:hAnsi="宋体" w:hint="eastAsia"/>
          <w:kern w:val="2"/>
          <w:sz w:val="24"/>
          <w:szCs w:val="22"/>
        </w:rPr>
        <w:t>人仍为</w:t>
      </w:r>
      <w:r w:rsidR="00C6659F">
        <w:rPr>
          <w:rFonts w:ascii="宋体" w:hAnsi="宋体" w:hint="eastAsia"/>
          <w:kern w:val="2"/>
          <w:sz w:val="24"/>
          <w:szCs w:val="22"/>
        </w:rPr>
        <w:t>铜陵市</w:t>
      </w:r>
      <w:r w:rsidR="00C6659F" w:rsidRPr="00C6659F">
        <w:rPr>
          <w:rFonts w:ascii="宋体" w:hAnsi="宋体" w:hint="eastAsia"/>
          <w:kern w:val="2"/>
          <w:sz w:val="24"/>
          <w:szCs w:val="22"/>
        </w:rPr>
        <w:t>人民政府国有资产监督管理委员会（以下简称“</w:t>
      </w:r>
      <w:r w:rsidR="00C6659F">
        <w:rPr>
          <w:rFonts w:ascii="宋体" w:hAnsi="宋体" w:hint="eastAsia"/>
          <w:kern w:val="2"/>
          <w:sz w:val="24"/>
          <w:szCs w:val="22"/>
        </w:rPr>
        <w:t>铜陵市</w:t>
      </w:r>
      <w:r w:rsidR="00C6659F" w:rsidRPr="00C6659F">
        <w:rPr>
          <w:rFonts w:ascii="宋体" w:hAnsi="宋体" w:hint="eastAsia"/>
          <w:kern w:val="2"/>
          <w:sz w:val="24"/>
          <w:szCs w:val="22"/>
        </w:rPr>
        <w:t>国资委”），公司控制权不会发生变化。</w:t>
      </w:r>
    </w:p>
    <w:p w14:paraId="28D01DC5" w14:textId="05BBB41B" w:rsidR="00C6659F" w:rsidRDefault="00C6659F" w:rsidP="004C26A8">
      <w:pPr>
        <w:widowControl w:val="0"/>
        <w:adjustRightInd w:val="0"/>
        <w:snapToGrid w:val="0"/>
        <w:spacing w:line="360" w:lineRule="auto"/>
        <w:ind w:firstLineChars="200" w:firstLine="480"/>
        <w:jc w:val="both"/>
        <w:rPr>
          <w:rFonts w:ascii="宋体" w:hAnsi="宋体"/>
          <w:sz w:val="24"/>
          <w:szCs w:val="24"/>
        </w:rPr>
      </w:pPr>
      <w:r w:rsidRPr="00C6659F">
        <w:rPr>
          <w:rFonts w:ascii="宋体" w:hAnsi="宋体" w:hint="eastAsia"/>
          <w:sz w:val="24"/>
          <w:szCs w:val="24"/>
        </w:rPr>
        <w:t>202</w:t>
      </w:r>
      <w:r>
        <w:rPr>
          <w:rFonts w:ascii="宋体" w:hAnsi="宋体"/>
          <w:sz w:val="24"/>
          <w:szCs w:val="24"/>
        </w:rPr>
        <w:t>4</w:t>
      </w:r>
      <w:r w:rsidRPr="00C6659F">
        <w:rPr>
          <w:rFonts w:ascii="宋体" w:hAnsi="宋体" w:hint="eastAsia"/>
          <w:sz w:val="24"/>
          <w:szCs w:val="24"/>
        </w:rPr>
        <w:t>年</w:t>
      </w:r>
      <w:r>
        <w:rPr>
          <w:rFonts w:ascii="宋体" w:hAnsi="宋体"/>
          <w:sz w:val="24"/>
          <w:szCs w:val="24"/>
        </w:rPr>
        <w:t>5</w:t>
      </w:r>
      <w:r w:rsidRPr="00C6659F">
        <w:rPr>
          <w:rFonts w:ascii="宋体" w:hAnsi="宋体" w:hint="eastAsia"/>
          <w:sz w:val="24"/>
          <w:szCs w:val="24"/>
        </w:rPr>
        <w:t>月8日，公司披露了</w:t>
      </w:r>
      <w:r>
        <w:rPr>
          <w:rFonts w:ascii="宋体" w:hAnsi="宋体" w:hint="eastAsia"/>
          <w:sz w:val="24"/>
          <w:szCs w:val="24"/>
        </w:rPr>
        <w:t>《</w:t>
      </w:r>
      <w:r w:rsidRPr="00C6659F">
        <w:rPr>
          <w:rFonts w:ascii="宋体" w:hAnsi="宋体" w:hint="eastAsia"/>
          <w:sz w:val="24"/>
          <w:szCs w:val="24"/>
        </w:rPr>
        <w:t>铜峰电子简式权益变动报告书（铜陵大江</w:t>
      </w:r>
      <w:r w:rsidRPr="00C6659F">
        <w:rPr>
          <w:rFonts w:ascii="宋体" w:hAnsi="宋体" w:hint="eastAsia"/>
          <w:sz w:val="24"/>
          <w:szCs w:val="24"/>
        </w:rPr>
        <w:lastRenderedPageBreak/>
        <w:t>投资控股有限公司）</w:t>
      </w:r>
      <w:r>
        <w:rPr>
          <w:rFonts w:ascii="宋体" w:hAnsi="宋体" w:hint="eastAsia"/>
          <w:sz w:val="24"/>
          <w:szCs w:val="24"/>
        </w:rPr>
        <w:t>》、《</w:t>
      </w:r>
      <w:r w:rsidRPr="00C6659F">
        <w:rPr>
          <w:rFonts w:ascii="宋体" w:hAnsi="宋体" w:hint="eastAsia"/>
          <w:sz w:val="24"/>
          <w:szCs w:val="24"/>
        </w:rPr>
        <w:t>铜峰电子详式权益变动报告书（铜陵中旭建设投资有限公司）</w:t>
      </w:r>
      <w:r>
        <w:rPr>
          <w:rFonts w:ascii="宋体" w:hAnsi="宋体" w:hint="eastAsia"/>
          <w:sz w:val="24"/>
          <w:szCs w:val="24"/>
        </w:rPr>
        <w:t>》、《</w:t>
      </w:r>
      <w:r w:rsidRPr="00C6659F">
        <w:rPr>
          <w:rFonts w:ascii="宋体" w:hAnsi="宋体" w:hint="eastAsia"/>
          <w:sz w:val="24"/>
          <w:szCs w:val="24"/>
        </w:rPr>
        <w:t>铜峰电子关于控股股东无偿划转公司股份获得批复的公告</w:t>
      </w:r>
      <w:r>
        <w:rPr>
          <w:rFonts w:ascii="宋体" w:hAnsi="宋体" w:hint="eastAsia"/>
          <w:sz w:val="24"/>
          <w:szCs w:val="24"/>
        </w:rPr>
        <w:t>》。</w:t>
      </w:r>
    </w:p>
    <w:p w14:paraId="0CF92E01" w14:textId="7B701826" w:rsidR="00052E0A" w:rsidRDefault="00D958CC" w:rsidP="004C26A8">
      <w:pPr>
        <w:widowControl w:val="0"/>
        <w:adjustRightInd w:val="0"/>
        <w:snapToGrid w:val="0"/>
        <w:spacing w:line="360" w:lineRule="auto"/>
        <w:ind w:firstLineChars="200" w:firstLine="480"/>
        <w:jc w:val="both"/>
        <w:rPr>
          <w:rFonts w:ascii="宋体" w:hAnsi="宋体"/>
          <w:sz w:val="24"/>
          <w:szCs w:val="24"/>
        </w:rPr>
      </w:pPr>
      <w:r w:rsidRPr="00C6659F">
        <w:rPr>
          <w:rFonts w:ascii="宋体" w:hAnsi="宋体" w:hint="eastAsia"/>
          <w:sz w:val="24"/>
          <w:szCs w:val="24"/>
        </w:rPr>
        <w:t>202</w:t>
      </w:r>
      <w:r>
        <w:rPr>
          <w:rFonts w:ascii="宋体" w:hAnsi="宋体"/>
          <w:sz w:val="24"/>
          <w:szCs w:val="24"/>
        </w:rPr>
        <w:t>4</w:t>
      </w:r>
      <w:r w:rsidRPr="00C6659F">
        <w:rPr>
          <w:rFonts w:ascii="宋体" w:hAnsi="宋体" w:hint="eastAsia"/>
          <w:sz w:val="24"/>
          <w:szCs w:val="24"/>
        </w:rPr>
        <w:t>年</w:t>
      </w:r>
      <w:r>
        <w:rPr>
          <w:rFonts w:ascii="宋体" w:hAnsi="宋体"/>
          <w:sz w:val="24"/>
          <w:szCs w:val="24"/>
        </w:rPr>
        <w:t>6</w:t>
      </w:r>
      <w:r w:rsidRPr="00C6659F">
        <w:rPr>
          <w:rFonts w:ascii="宋体" w:hAnsi="宋体" w:hint="eastAsia"/>
          <w:sz w:val="24"/>
          <w:szCs w:val="24"/>
        </w:rPr>
        <w:t>月8日，公司披露了</w:t>
      </w:r>
      <w:r>
        <w:rPr>
          <w:rFonts w:ascii="宋体" w:hAnsi="宋体" w:hint="eastAsia"/>
          <w:sz w:val="24"/>
          <w:szCs w:val="24"/>
        </w:rPr>
        <w:t>《</w:t>
      </w:r>
      <w:r w:rsidRPr="002B2626">
        <w:rPr>
          <w:rFonts w:ascii="宋体" w:hAnsi="宋体" w:hint="eastAsia"/>
          <w:sz w:val="24"/>
          <w:szCs w:val="24"/>
        </w:rPr>
        <w:t>铜峰电子关于控股股东无偿划转公司股份的进展公告</w:t>
      </w:r>
      <w:r>
        <w:rPr>
          <w:rFonts w:ascii="宋体" w:hAnsi="宋体" w:hint="eastAsia"/>
          <w:sz w:val="24"/>
          <w:szCs w:val="24"/>
        </w:rPr>
        <w:t>》。</w:t>
      </w:r>
    </w:p>
    <w:p w14:paraId="165B7121" w14:textId="77777777" w:rsidR="00F86971" w:rsidRDefault="00F86971" w:rsidP="004C26A8">
      <w:pPr>
        <w:widowControl w:val="0"/>
        <w:adjustRightInd w:val="0"/>
        <w:snapToGrid w:val="0"/>
        <w:spacing w:line="360" w:lineRule="auto"/>
        <w:ind w:firstLineChars="200" w:firstLine="480"/>
        <w:jc w:val="both"/>
        <w:rPr>
          <w:rFonts w:ascii="宋体" w:hAnsi="宋体"/>
          <w:sz w:val="24"/>
          <w:szCs w:val="24"/>
        </w:rPr>
      </w:pPr>
    </w:p>
    <w:p w14:paraId="22805349" w14:textId="5AD6EB99" w:rsidR="00B94C42" w:rsidRDefault="00C6659F" w:rsidP="004C26A8">
      <w:pPr>
        <w:widowControl w:val="0"/>
        <w:adjustRightInd w:val="0"/>
        <w:snapToGrid w:val="0"/>
        <w:spacing w:beforeLines="50" w:before="156" w:line="360" w:lineRule="auto"/>
        <w:ind w:firstLineChars="200" w:firstLine="560"/>
        <w:jc w:val="both"/>
        <w:rPr>
          <w:rFonts w:ascii="黑体" w:eastAsia="黑体" w:hAnsi="黑体"/>
          <w:sz w:val="28"/>
          <w:szCs w:val="28"/>
        </w:rPr>
      </w:pPr>
      <w:r w:rsidRPr="00C6659F">
        <w:rPr>
          <w:rFonts w:ascii="黑体" w:eastAsia="黑体" w:hAnsi="黑体" w:hint="eastAsia"/>
          <w:sz w:val="28"/>
          <w:szCs w:val="28"/>
        </w:rPr>
        <w:t>二、</w:t>
      </w:r>
      <w:r w:rsidR="00B94C42" w:rsidRPr="00B94C42">
        <w:rPr>
          <w:rFonts w:ascii="黑体" w:eastAsia="黑体" w:hAnsi="黑体" w:hint="eastAsia"/>
          <w:sz w:val="28"/>
          <w:szCs w:val="28"/>
        </w:rPr>
        <w:t>本次国有股权无偿划转进展情况</w:t>
      </w:r>
    </w:p>
    <w:p w14:paraId="47E7BCD7" w14:textId="7A2DFA93" w:rsidR="004C26A8" w:rsidRDefault="00EE0CDB" w:rsidP="004C26A8">
      <w:pPr>
        <w:widowControl w:val="0"/>
        <w:adjustRightInd w:val="0"/>
        <w:snapToGrid w:val="0"/>
        <w:spacing w:line="360" w:lineRule="auto"/>
        <w:ind w:firstLineChars="200" w:firstLine="480"/>
        <w:jc w:val="both"/>
        <w:rPr>
          <w:rFonts w:ascii="宋体" w:hAnsi="宋体"/>
          <w:sz w:val="24"/>
          <w:szCs w:val="24"/>
        </w:rPr>
      </w:pPr>
      <w:r w:rsidRPr="009E4E4F">
        <w:rPr>
          <w:rFonts w:ascii="宋体" w:hAnsi="宋体" w:hint="eastAsia"/>
          <w:sz w:val="24"/>
          <w:szCs w:val="24"/>
        </w:rPr>
        <w:t>根据《上市公司收购管理办法》的第五十五条规定：</w:t>
      </w:r>
      <w:r w:rsidRPr="009E4E4F">
        <w:rPr>
          <w:rFonts w:ascii="宋体" w:hAnsi="宋体"/>
          <w:sz w:val="24"/>
          <w:szCs w:val="24"/>
        </w:rPr>
        <w:t>“</w:t>
      </w:r>
      <w:r w:rsidRPr="009E4E4F">
        <w:rPr>
          <w:rFonts w:ascii="宋体" w:hAnsi="宋体" w:hint="eastAsia"/>
          <w:sz w:val="24"/>
          <w:szCs w:val="24"/>
        </w:rPr>
        <w:t>收购人在收购报告书公告后</w:t>
      </w:r>
      <w:r w:rsidRPr="009E4E4F">
        <w:rPr>
          <w:rFonts w:ascii="宋体" w:hAnsi="宋体"/>
          <w:sz w:val="24"/>
          <w:szCs w:val="24"/>
        </w:rPr>
        <w:t>30</w:t>
      </w:r>
      <w:r w:rsidRPr="009E4E4F">
        <w:rPr>
          <w:rFonts w:ascii="宋体" w:hAnsi="宋体" w:hint="eastAsia"/>
          <w:sz w:val="24"/>
          <w:szCs w:val="24"/>
        </w:rPr>
        <w:t>日内仍未完成相关股份过户手续的，应当立即作出公告，说明理由；在未完成相关股份过户期间，应当每隔</w:t>
      </w:r>
      <w:r w:rsidRPr="009E4E4F">
        <w:rPr>
          <w:rFonts w:ascii="宋体" w:hAnsi="宋体"/>
          <w:sz w:val="24"/>
          <w:szCs w:val="24"/>
        </w:rPr>
        <w:t>30</w:t>
      </w:r>
      <w:r w:rsidR="004C26A8">
        <w:rPr>
          <w:rFonts w:ascii="宋体" w:hAnsi="宋体" w:hint="eastAsia"/>
          <w:sz w:val="24"/>
          <w:szCs w:val="24"/>
        </w:rPr>
        <w:t>日公告相关股份过户办理进展情况</w:t>
      </w:r>
      <w:r w:rsidRPr="009E4E4F">
        <w:rPr>
          <w:rFonts w:ascii="宋体" w:hAnsi="宋体"/>
          <w:sz w:val="24"/>
          <w:szCs w:val="24"/>
        </w:rPr>
        <w:t>”</w:t>
      </w:r>
      <w:r w:rsidR="009E4E4F" w:rsidRPr="009E4E4F">
        <w:rPr>
          <w:rFonts w:ascii="宋体" w:hAnsi="宋体" w:hint="eastAsia"/>
          <w:sz w:val="24"/>
          <w:szCs w:val="24"/>
        </w:rPr>
        <w:t>。</w:t>
      </w:r>
    </w:p>
    <w:p w14:paraId="3B222F56" w14:textId="719B68D3" w:rsidR="00B94C42" w:rsidRPr="00734E92" w:rsidRDefault="00B94C42" w:rsidP="004C26A8">
      <w:pPr>
        <w:widowControl w:val="0"/>
        <w:adjustRightInd w:val="0"/>
        <w:snapToGrid w:val="0"/>
        <w:spacing w:line="360" w:lineRule="auto"/>
        <w:ind w:firstLineChars="200" w:firstLine="480"/>
        <w:jc w:val="both"/>
        <w:rPr>
          <w:rFonts w:ascii="宋体" w:hAnsi="宋体"/>
          <w:color w:val="000000" w:themeColor="text1"/>
          <w:sz w:val="24"/>
          <w:szCs w:val="24"/>
        </w:rPr>
      </w:pPr>
      <w:r w:rsidRPr="00734E92">
        <w:rPr>
          <w:rFonts w:ascii="宋体" w:hAnsi="宋体" w:hint="eastAsia"/>
          <w:color w:val="000000" w:themeColor="text1"/>
          <w:sz w:val="24"/>
          <w:szCs w:val="24"/>
        </w:rPr>
        <w:t>截至本公告披露日，</w:t>
      </w:r>
      <w:r w:rsidR="000E6AFC" w:rsidRPr="00734E92">
        <w:rPr>
          <w:rFonts w:ascii="宋体" w:hAnsi="宋体" w:hint="eastAsia"/>
          <w:color w:val="000000" w:themeColor="text1"/>
          <w:sz w:val="24"/>
          <w:szCs w:val="24"/>
        </w:rPr>
        <w:t>大江投资</w:t>
      </w:r>
      <w:r w:rsidR="00F806F5" w:rsidRPr="00734E92">
        <w:rPr>
          <w:rFonts w:ascii="宋体" w:hAnsi="宋体" w:hint="eastAsia"/>
          <w:color w:val="000000" w:themeColor="text1"/>
          <w:sz w:val="24"/>
          <w:szCs w:val="24"/>
        </w:rPr>
        <w:t>已</w:t>
      </w:r>
      <w:r w:rsidR="00DA7C81" w:rsidRPr="00734E92">
        <w:rPr>
          <w:rFonts w:ascii="宋体" w:hAnsi="宋体" w:hint="eastAsia"/>
          <w:color w:val="000000" w:themeColor="text1"/>
          <w:sz w:val="24"/>
          <w:szCs w:val="24"/>
        </w:rPr>
        <w:t>完成</w:t>
      </w:r>
      <w:r w:rsidR="000E6AFC" w:rsidRPr="00734E92">
        <w:rPr>
          <w:rFonts w:ascii="宋体" w:hAnsi="宋体" w:hint="eastAsia"/>
          <w:color w:val="000000" w:themeColor="text1"/>
          <w:sz w:val="24"/>
          <w:szCs w:val="24"/>
        </w:rPr>
        <w:t>本次国有股权无偿划转国有资产监督管理部门备案程序，</w:t>
      </w:r>
      <w:r w:rsidR="00F806F5" w:rsidRPr="00734E92">
        <w:rPr>
          <w:rFonts w:asciiTheme="minorEastAsia" w:eastAsiaTheme="minorEastAsia" w:hAnsiTheme="minorEastAsia" w:hint="eastAsia"/>
          <w:color w:val="000000" w:themeColor="text1"/>
          <w:sz w:val="24"/>
          <w:szCs w:val="24"/>
        </w:rPr>
        <w:t>尚需在中国证券登记结算有限责任公司上海分公司</w:t>
      </w:r>
      <w:r w:rsidR="00C86AE9" w:rsidRPr="00734E92">
        <w:rPr>
          <w:rFonts w:asciiTheme="minorEastAsia" w:eastAsiaTheme="minorEastAsia" w:hAnsiTheme="minorEastAsia" w:hint="eastAsia"/>
          <w:color w:val="000000" w:themeColor="text1"/>
          <w:sz w:val="24"/>
          <w:szCs w:val="24"/>
        </w:rPr>
        <w:t>办</w:t>
      </w:r>
      <w:r w:rsidR="00C86AE9" w:rsidRPr="00734E92">
        <w:rPr>
          <w:rFonts w:asciiTheme="minorEastAsia" w:eastAsiaTheme="minorEastAsia" w:hAnsiTheme="minorEastAsia"/>
          <w:color w:val="000000" w:themeColor="text1"/>
          <w:sz w:val="24"/>
          <w:szCs w:val="24"/>
        </w:rPr>
        <w:t>理</w:t>
      </w:r>
      <w:r w:rsidR="00C86AE9" w:rsidRPr="00734E92">
        <w:rPr>
          <w:rFonts w:asciiTheme="minorEastAsia" w:eastAsiaTheme="minorEastAsia" w:hAnsiTheme="minorEastAsia" w:hint="eastAsia"/>
          <w:color w:val="000000" w:themeColor="text1"/>
          <w:sz w:val="24"/>
          <w:szCs w:val="24"/>
        </w:rPr>
        <w:t>股份</w:t>
      </w:r>
      <w:r w:rsidR="00F806F5" w:rsidRPr="00734E92">
        <w:rPr>
          <w:rFonts w:asciiTheme="minorEastAsia" w:eastAsiaTheme="minorEastAsia" w:hAnsiTheme="minorEastAsia" w:hint="eastAsia"/>
          <w:color w:val="000000" w:themeColor="text1"/>
          <w:sz w:val="24"/>
          <w:szCs w:val="24"/>
        </w:rPr>
        <w:t>过户登记</w:t>
      </w:r>
      <w:r w:rsidR="00C86AE9" w:rsidRPr="00734E92">
        <w:rPr>
          <w:rFonts w:asciiTheme="minorEastAsia" w:eastAsiaTheme="minorEastAsia" w:hAnsiTheme="minorEastAsia" w:hint="eastAsia"/>
          <w:color w:val="000000" w:themeColor="text1"/>
          <w:sz w:val="24"/>
          <w:szCs w:val="24"/>
        </w:rPr>
        <w:t>手续</w:t>
      </w:r>
      <w:r w:rsidR="00BC6357" w:rsidRPr="00734E92">
        <w:rPr>
          <w:rFonts w:ascii="宋体" w:hAnsi="宋体" w:hint="eastAsia"/>
          <w:color w:val="000000" w:themeColor="text1"/>
          <w:sz w:val="24"/>
          <w:szCs w:val="24"/>
        </w:rPr>
        <w:t>，相关事宜尚在推进过程中。</w:t>
      </w:r>
      <w:bookmarkStart w:id="0" w:name="_GoBack"/>
      <w:bookmarkEnd w:id="0"/>
    </w:p>
    <w:p w14:paraId="55EFFB87" w14:textId="77777777" w:rsidR="004C26A8" w:rsidRPr="00C86AE9" w:rsidRDefault="004C26A8" w:rsidP="004C26A8">
      <w:pPr>
        <w:widowControl w:val="0"/>
        <w:adjustRightInd w:val="0"/>
        <w:snapToGrid w:val="0"/>
        <w:spacing w:line="360" w:lineRule="auto"/>
        <w:ind w:firstLineChars="200" w:firstLine="480"/>
        <w:jc w:val="both"/>
        <w:rPr>
          <w:rFonts w:ascii="宋体" w:hAnsi="宋体"/>
          <w:sz w:val="24"/>
          <w:szCs w:val="24"/>
        </w:rPr>
      </w:pPr>
    </w:p>
    <w:p w14:paraId="135FDE03" w14:textId="11DA3BD0" w:rsidR="00C6659F" w:rsidRDefault="00B94C42" w:rsidP="004C26A8">
      <w:pPr>
        <w:widowControl w:val="0"/>
        <w:adjustRightInd w:val="0"/>
        <w:snapToGrid w:val="0"/>
        <w:spacing w:beforeLines="50" w:before="156" w:line="360" w:lineRule="auto"/>
        <w:ind w:firstLineChars="200" w:firstLine="560"/>
        <w:jc w:val="both"/>
        <w:rPr>
          <w:sz w:val="23"/>
          <w:szCs w:val="23"/>
        </w:rPr>
      </w:pPr>
      <w:r>
        <w:rPr>
          <w:rFonts w:ascii="黑体" w:eastAsia="黑体" w:hAnsi="黑体" w:hint="eastAsia"/>
          <w:sz w:val="28"/>
          <w:szCs w:val="28"/>
        </w:rPr>
        <w:t>三、</w:t>
      </w:r>
      <w:r w:rsidRPr="00B94C42">
        <w:rPr>
          <w:rFonts w:ascii="黑体" w:eastAsia="黑体" w:hAnsi="黑体" w:hint="eastAsia"/>
          <w:sz w:val="28"/>
          <w:szCs w:val="28"/>
        </w:rPr>
        <w:t>其他相关事项说明</w:t>
      </w:r>
    </w:p>
    <w:p w14:paraId="2078BACD" w14:textId="0F853167" w:rsidR="00C6659F" w:rsidRDefault="000E6AFC" w:rsidP="004C26A8">
      <w:pPr>
        <w:widowControl w:val="0"/>
        <w:adjustRightInd w:val="0"/>
        <w:snapToGrid w:val="0"/>
        <w:spacing w:line="360" w:lineRule="auto"/>
        <w:ind w:firstLineChars="200" w:firstLine="480"/>
        <w:jc w:val="both"/>
        <w:rPr>
          <w:rFonts w:ascii="宋体" w:hAnsi="宋体"/>
          <w:sz w:val="24"/>
          <w:szCs w:val="24"/>
        </w:rPr>
      </w:pPr>
      <w:r w:rsidRPr="000E6AFC">
        <w:rPr>
          <w:rFonts w:ascii="宋体" w:hAnsi="宋体" w:hint="eastAsia"/>
          <w:sz w:val="24"/>
          <w:szCs w:val="24"/>
        </w:rPr>
        <w:t>本次国有股权无偿划转事宜正在办理中，</w:t>
      </w:r>
      <w:r w:rsidR="00B94C42" w:rsidRPr="00B94C42">
        <w:rPr>
          <w:rFonts w:ascii="宋体" w:hAnsi="宋体" w:hint="eastAsia"/>
          <w:sz w:val="24"/>
          <w:szCs w:val="24"/>
        </w:rPr>
        <w:t>公司将持续关注本次国有股权无偿划转事宜的进展情况，并按照相关法律法规的规定及时履行信息披露义务，敬请广大投资者理性投资，注意投资风险。</w:t>
      </w:r>
    </w:p>
    <w:p w14:paraId="03C4EA6E" w14:textId="77777777" w:rsidR="00052E0A" w:rsidRPr="00C6659F" w:rsidRDefault="00052E0A" w:rsidP="004C26A8">
      <w:pPr>
        <w:widowControl w:val="0"/>
        <w:adjustRightInd w:val="0"/>
        <w:snapToGrid w:val="0"/>
        <w:spacing w:line="360" w:lineRule="auto"/>
        <w:ind w:firstLineChars="200" w:firstLine="480"/>
        <w:jc w:val="both"/>
        <w:rPr>
          <w:rFonts w:ascii="宋体" w:hAnsi="宋体"/>
          <w:sz w:val="24"/>
          <w:szCs w:val="24"/>
        </w:rPr>
      </w:pPr>
    </w:p>
    <w:p w14:paraId="5B3AF353" w14:textId="34621F4E" w:rsidR="00C6659F" w:rsidRDefault="00C6659F" w:rsidP="004C26A8">
      <w:pPr>
        <w:widowControl w:val="0"/>
        <w:adjustRightInd w:val="0"/>
        <w:snapToGrid w:val="0"/>
        <w:spacing w:line="360" w:lineRule="auto"/>
        <w:ind w:firstLineChars="200" w:firstLine="480"/>
        <w:jc w:val="both"/>
        <w:rPr>
          <w:rFonts w:ascii="宋体" w:hAnsi="宋体"/>
          <w:sz w:val="24"/>
          <w:szCs w:val="24"/>
        </w:rPr>
      </w:pPr>
      <w:r w:rsidRPr="00C6659F">
        <w:rPr>
          <w:rFonts w:ascii="宋体" w:hAnsi="宋体" w:hint="eastAsia"/>
          <w:sz w:val="24"/>
          <w:szCs w:val="24"/>
        </w:rPr>
        <w:t>特此公告。</w:t>
      </w:r>
    </w:p>
    <w:p w14:paraId="3357C6A8" w14:textId="496CF445" w:rsidR="00052E0A" w:rsidRDefault="00052E0A" w:rsidP="004C26A8">
      <w:pPr>
        <w:widowControl w:val="0"/>
        <w:adjustRightInd w:val="0"/>
        <w:snapToGrid w:val="0"/>
        <w:spacing w:line="360" w:lineRule="auto"/>
        <w:ind w:firstLineChars="200" w:firstLine="480"/>
        <w:jc w:val="both"/>
        <w:rPr>
          <w:rFonts w:ascii="宋体" w:hAnsi="宋体"/>
          <w:sz w:val="24"/>
          <w:szCs w:val="24"/>
        </w:rPr>
      </w:pPr>
    </w:p>
    <w:p w14:paraId="73E3E1B7" w14:textId="77777777" w:rsidR="00052E0A" w:rsidRPr="00C6659F" w:rsidRDefault="00052E0A" w:rsidP="004C26A8">
      <w:pPr>
        <w:widowControl w:val="0"/>
        <w:adjustRightInd w:val="0"/>
        <w:snapToGrid w:val="0"/>
        <w:spacing w:line="360" w:lineRule="auto"/>
        <w:ind w:firstLineChars="200" w:firstLine="480"/>
        <w:jc w:val="both"/>
        <w:rPr>
          <w:rFonts w:ascii="宋体" w:hAnsi="宋体"/>
          <w:sz w:val="24"/>
          <w:szCs w:val="24"/>
        </w:rPr>
      </w:pPr>
    </w:p>
    <w:p w14:paraId="1CAC1FB1" w14:textId="77777777" w:rsidR="00716994" w:rsidRDefault="005C4C59" w:rsidP="004C26A8">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安徽铜峰电子股份有限公司董事会</w:t>
      </w:r>
    </w:p>
    <w:p w14:paraId="1248791C" w14:textId="2F971D18" w:rsidR="00716994" w:rsidRDefault="005C4C59" w:rsidP="004C26A8">
      <w:pPr>
        <w:adjustRightInd w:val="0"/>
        <w:snapToGrid w:val="0"/>
        <w:spacing w:line="360" w:lineRule="auto"/>
        <w:ind w:firstLineChars="200" w:firstLine="480"/>
      </w:pPr>
      <w:r>
        <w:rPr>
          <w:rFonts w:ascii="宋体" w:hAnsi="宋体" w:hint="eastAsia"/>
          <w:sz w:val="24"/>
          <w:szCs w:val="24"/>
        </w:rPr>
        <w:t xml:space="preserve">                                          </w:t>
      </w:r>
      <w:r w:rsidR="000A39D2">
        <w:rPr>
          <w:rFonts w:ascii="宋体" w:hAnsi="宋体" w:hint="eastAsia"/>
          <w:sz w:val="24"/>
          <w:szCs w:val="24"/>
        </w:rPr>
        <w:t>202</w:t>
      </w:r>
      <w:r w:rsidR="000A39D2">
        <w:rPr>
          <w:rFonts w:ascii="宋体" w:hAnsi="宋体"/>
          <w:sz w:val="24"/>
          <w:szCs w:val="24"/>
        </w:rPr>
        <w:t>4</w:t>
      </w:r>
      <w:r w:rsidR="000A39D2">
        <w:rPr>
          <w:rFonts w:ascii="宋体" w:hAnsi="宋体" w:hint="eastAsia"/>
          <w:sz w:val="24"/>
          <w:szCs w:val="24"/>
        </w:rPr>
        <w:t>年</w:t>
      </w:r>
      <w:r w:rsidR="000A39D2">
        <w:rPr>
          <w:rFonts w:ascii="宋体" w:hAnsi="宋体"/>
          <w:sz w:val="24"/>
          <w:szCs w:val="24"/>
        </w:rPr>
        <w:t>7</w:t>
      </w:r>
      <w:r>
        <w:rPr>
          <w:rFonts w:ascii="宋体" w:hAnsi="宋体" w:hint="eastAsia"/>
          <w:sz w:val="24"/>
          <w:szCs w:val="24"/>
        </w:rPr>
        <w:t>月</w:t>
      </w:r>
      <w:r w:rsidR="000A39D2">
        <w:rPr>
          <w:rFonts w:ascii="宋体" w:hAnsi="宋体"/>
          <w:sz w:val="24"/>
          <w:szCs w:val="24"/>
        </w:rPr>
        <w:t>6</w:t>
      </w:r>
      <w:r>
        <w:rPr>
          <w:rFonts w:ascii="宋体" w:hAnsi="宋体" w:hint="eastAsia"/>
          <w:sz w:val="24"/>
          <w:szCs w:val="24"/>
        </w:rPr>
        <w:t>日</w:t>
      </w:r>
    </w:p>
    <w:p w14:paraId="015AD64E" w14:textId="77777777" w:rsidR="00716994" w:rsidRDefault="00716994" w:rsidP="00052E0A">
      <w:pPr>
        <w:widowControl w:val="0"/>
        <w:adjustRightInd w:val="0"/>
        <w:snapToGrid w:val="0"/>
        <w:spacing w:line="360" w:lineRule="auto"/>
        <w:ind w:firstLineChars="200" w:firstLine="480"/>
        <w:jc w:val="both"/>
        <w:rPr>
          <w:rFonts w:ascii="宋体" w:hAnsi="宋体"/>
          <w:sz w:val="24"/>
          <w:szCs w:val="24"/>
        </w:rPr>
      </w:pPr>
    </w:p>
    <w:sectPr w:rsidR="00716994">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ABE911" w16cex:dateUtc="2024-04-08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0505E" w16cid:durableId="26ABE9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CF5DD" w14:textId="77777777" w:rsidR="00E20AE5" w:rsidRDefault="00E20AE5" w:rsidP="00660FC6">
      <w:r>
        <w:separator/>
      </w:r>
    </w:p>
  </w:endnote>
  <w:endnote w:type="continuationSeparator" w:id="0">
    <w:p w14:paraId="23A304E8" w14:textId="77777777" w:rsidR="00E20AE5" w:rsidRDefault="00E20AE5" w:rsidP="0066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D8045" w14:textId="77777777" w:rsidR="00E20AE5" w:rsidRDefault="00E20AE5" w:rsidP="00660FC6">
      <w:r>
        <w:separator/>
      </w:r>
    </w:p>
  </w:footnote>
  <w:footnote w:type="continuationSeparator" w:id="0">
    <w:p w14:paraId="77A6956A" w14:textId="77777777" w:rsidR="00E20AE5" w:rsidRDefault="00E20AE5" w:rsidP="00660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41E4A"/>
    <w:multiLevelType w:val="multilevel"/>
    <w:tmpl w:val="73B41E4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OWMzZmE1MjVlYmVkMTI3NWVhMmExZmNhNWEwOWMifQ=="/>
  </w:docVars>
  <w:rsids>
    <w:rsidRoot w:val="002E5235"/>
    <w:rsid w:val="000229FD"/>
    <w:rsid w:val="00023BE3"/>
    <w:rsid w:val="00030FAE"/>
    <w:rsid w:val="00052E0A"/>
    <w:rsid w:val="00060756"/>
    <w:rsid w:val="000651E4"/>
    <w:rsid w:val="00066435"/>
    <w:rsid w:val="00066AD9"/>
    <w:rsid w:val="0008261D"/>
    <w:rsid w:val="000952F4"/>
    <w:rsid w:val="00096512"/>
    <w:rsid w:val="000A39D2"/>
    <w:rsid w:val="000A4458"/>
    <w:rsid w:val="000D051B"/>
    <w:rsid w:val="000D668B"/>
    <w:rsid w:val="000E6AFC"/>
    <w:rsid w:val="00102D99"/>
    <w:rsid w:val="001051C4"/>
    <w:rsid w:val="00116A43"/>
    <w:rsid w:val="001328AC"/>
    <w:rsid w:val="00132FCF"/>
    <w:rsid w:val="001478DF"/>
    <w:rsid w:val="00151DC1"/>
    <w:rsid w:val="00164B42"/>
    <w:rsid w:val="00165E51"/>
    <w:rsid w:val="001A3FD7"/>
    <w:rsid w:val="001C2ACD"/>
    <w:rsid w:val="001D2CAE"/>
    <w:rsid w:val="001D2E66"/>
    <w:rsid w:val="001F2E22"/>
    <w:rsid w:val="00200CA4"/>
    <w:rsid w:val="00204BC4"/>
    <w:rsid w:val="00205CFA"/>
    <w:rsid w:val="0021005E"/>
    <w:rsid w:val="00235CCE"/>
    <w:rsid w:val="00251970"/>
    <w:rsid w:val="00254880"/>
    <w:rsid w:val="00255DD2"/>
    <w:rsid w:val="00257F58"/>
    <w:rsid w:val="002615C2"/>
    <w:rsid w:val="0027579B"/>
    <w:rsid w:val="00287040"/>
    <w:rsid w:val="002A0322"/>
    <w:rsid w:val="002B2626"/>
    <w:rsid w:val="002B3798"/>
    <w:rsid w:val="002B4EC5"/>
    <w:rsid w:val="002D5F37"/>
    <w:rsid w:val="002E37F4"/>
    <w:rsid w:val="002E5235"/>
    <w:rsid w:val="00320EDD"/>
    <w:rsid w:val="00343DCD"/>
    <w:rsid w:val="00362972"/>
    <w:rsid w:val="00371B2E"/>
    <w:rsid w:val="00387A9A"/>
    <w:rsid w:val="0039484D"/>
    <w:rsid w:val="003B6B8C"/>
    <w:rsid w:val="003D6F93"/>
    <w:rsid w:val="003E2B8B"/>
    <w:rsid w:val="003E32D3"/>
    <w:rsid w:val="003E7D61"/>
    <w:rsid w:val="00430C6F"/>
    <w:rsid w:val="0043138F"/>
    <w:rsid w:val="00434768"/>
    <w:rsid w:val="004469DC"/>
    <w:rsid w:val="00470C0B"/>
    <w:rsid w:val="004773E4"/>
    <w:rsid w:val="004801BA"/>
    <w:rsid w:val="004951F4"/>
    <w:rsid w:val="004A472D"/>
    <w:rsid w:val="004B24AA"/>
    <w:rsid w:val="004B5CF1"/>
    <w:rsid w:val="004C26A8"/>
    <w:rsid w:val="00503A15"/>
    <w:rsid w:val="00507829"/>
    <w:rsid w:val="005704AA"/>
    <w:rsid w:val="00571641"/>
    <w:rsid w:val="00582EC6"/>
    <w:rsid w:val="00590640"/>
    <w:rsid w:val="005A4F35"/>
    <w:rsid w:val="005C4C59"/>
    <w:rsid w:val="005D3408"/>
    <w:rsid w:val="005E01F8"/>
    <w:rsid w:val="005E6D3D"/>
    <w:rsid w:val="005F3EE2"/>
    <w:rsid w:val="005F46AA"/>
    <w:rsid w:val="00603744"/>
    <w:rsid w:val="00620907"/>
    <w:rsid w:val="00630D12"/>
    <w:rsid w:val="00631AA2"/>
    <w:rsid w:val="00637BFF"/>
    <w:rsid w:val="00642521"/>
    <w:rsid w:val="00647D66"/>
    <w:rsid w:val="00650C57"/>
    <w:rsid w:val="006539A7"/>
    <w:rsid w:val="00660FC6"/>
    <w:rsid w:val="0068503A"/>
    <w:rsid w:val="006861DD"/>
    <w:rsid w:val="006977B1"/>
    <w:rsid w:val="00697DD6"/>
    <w:rsid w:val="006B1B62"/>
    <w:rsid w:val="006B620F"/>
    <w:rsid w:val="006C1247"/>
    <w:rsid w:val="006C2CA5"/>
    <w:rsid w:val="006F2217"/>
    <w:rsid w:val="006F2A5C"/>
    <w:rsid w:val="00705310"/>
    <w:rsid w:val="00716994"/>
    <w:rsid w:val="0071759A"/>
    <w:rsid w:val="00727AA0"/>
    <w:rsid w:val="00734E92"/>
    <w:rsid w:val="00736D8A"/>
    <w:rsid w:val="00760885"/>
    <w:rsid w:val="00764185"/>
    <w:rsid w:val="00774580"/>
    <w:rsid w:val="00775A74"/>
    <w:rsid w:val="00776549"/>
    <w:rsid w:val="0078040D"/>
    <w:rsid w:val="0078091D"/>
    <w:rsid w:val="00782977"/>
    <w:rsid w:val="00796340"/>
    <w:rsid w:val="007B06FE"/>
    <w:rsid w:val="007B16D6"/>
    <w:rsid w:val="007C160A"/>
    <w:rsid w:val="007C2BDD"/>
    <w:rsid w:val="007C4101"/>
    <w:rsid w:val="007C6546"/>
    <w:rsid w:val="007D6A21"/>
    <w:rsid w:val="007F1979"/>
    <w:rsid w:val="007F4FC0"/>
    <w:rsid w:val="00813A74"/>
    <w:rsid w:val="00825DA0"/>
    <w:rsid w:val="008320BB"/>
    <w:rsid w:val="00834BDC"/>
    <w:rsid w:val="008437E8"/>
    <w:rsid w:val="00863913"/>
    <w:rsid w:val="008C18FE"/>
    <w:rsid w:val="0090133A"/>
    <w:rsid w:val="00901FAF"/>
    <w:rsid w:val="0090714E"/>
    <w:rsid w:val="00932BCD"/>
    <w:rsid w:val="00933950"/>
    <w:rsid w:val="00943CFD"/>
    <w:rsid w:val="00960140"/>
    <w:rsid w:val="00972FB3"/>
    <w:rsid w:val="00982CF8"/>
    <w:rsid w:val="00987451"/>
    <w:rsid w:val="00994225"/>
    <w:rsid w:val="009B2BB9"/>
    <w:rsid w:val="009B3AC2"/>
    <w:rsid w:val="009C2BEC"/>
    <w:rsid w:val="009E49DF"/>
    <w:rsid w:val="009E4E4F"/>
    <w:rsid w:val="009F1E18"/>
    <w:rsid w:val="009F58D9"/>
    <w:rsid w:val="009F7074"/>
    <w:rsid w:val="00A06AD9"/>
    <w:rsid w:val="00A14DC7"/>
    <w:rsid w:val="00A15CFD"/>
    <w:rsid w:val="00A17311"/>
    <w:rsid w:val="00A72A90"/>
    <w:rsid w:val="00A81296"/>
    <w:rsid w:val="00A8608F"/>
    <w:rsid w:val="00A87DAC"/>
    <w:rsid w:val="00A90EDC"/>
    <w:rsid w:val="00A926BD"/>
    <w:rsid w:val="00A96229"/>
    <w:rsid w:val="00AB6A5C"/>
    <w:rsid w:val="00AC1593"/>
    <w:rsid w:val="00AD22E0"/>
    <w:rsid w:val="00AE1FD1"/>
    <w:rsid w:val="00AE22E8"/>
    <w:rsid w:val="00B171C2"/>
    <w:rsid w:val="00B236DD"/>
    <w:rsid w:val="00B31356"/>
    <w:rsid w:val="00B338FC"/>
    <w:rsid w:val="00B55C66"/>
    <w:rsid w:val="00B8686E"/>
    <w:rsid w:val="00B94C42"/>
    <w:rsid w:val="00B94CB2"/>
    <w:rsid w:val="00BC6357"/>
    <w:rsid w:val="00C05AEE"/>
    <w:rsid w:val="00C21F50"/>
    <w:rsid w:val="00C271DB"/>
    <w:rsid w:val="00C27D35"/>
    <w:rsid w:val="00C34C0D"/>
    <w:rsid w:val="00C40779"/>
    <w:rsid w:val="00C54127"/>
    <w:rsid w:val="00C6659F"/>
    <w:rsid w:val="00C85112"/>
    <w:rsid w:val="00C86AE9"/>
    <w:rsid w:val="00C93821"/>
    <w:rsid w:val="00CA5B58"/>
    <w:rsid w:val="00CB1595"/>
    <w:rsid w:val="00CB6B35"/>
    <w:rsid w:val="00CC14CE"/>
    <w:rsid w:val="00CC53C6"/>
    <w:rsid w:val="00CD127D"/>
    <w:rsid w:val="00CD155E"/>
    <w:rsid w:val="00CF0F03"/>
    <w:rsid w:val="00D1159E"/>
    <w:rsid w:val="00D161C0"/>
    <w:rsid w:val="00D17015"/>
    <w:rsid w:val="00D25DE3"/>
    <w:rsid w:val="00D278B7"/>
    <w:rsid w:val="00D32DFF"/>
    <w:rsid w:val="00D72A19"/>
    <w:rsid w:val="00D852EA"/>
    <w:rsid w:val="00D87A25"/>
    <w:rsid w:val="00D92297"/>
    <w:rsid w:val="00D958CC"/>
    <w:rsid w:val="00D95F4C"/>
    <w:rsid w:val="00DA0ABD"/>
    <w:rsid w:val="00DA2BF5"/>
    <w:rsid w:val="00DA7C81"/>
    <w:rsid w:val="00DB1E7A"/>
    <w:rsid w:val="00DC0F01"/>
    <w:rsid w:val="00DC5A6C"/>
    <w:rsid w:val="00DE67E5"/>
    <w:rsid w:val="00E20AE5"/>
    <w:rsid w:val="00E53FC2"/>
    <w:rsid w:val="00E67F31"/>
    <w:rsid w:val="00E77B20"/>
    <w:rsid w:val="00EB0D89"/>
    <w:rsid w:val="00EB0E78"/>
    <w:rsid w:val="00EB5E3E"/>
    <w:rsid w:val="00ED28B5"/>
    <w:rsid w:val="00EE0CDB"/>
    <w:rsid w:val="00EE2777"/>
    <w:rsid w:val="00EE5915"/>
    <w:rsid w:val="00EF211E"/>
    <w:rsid w:val="00F022BE"/>
    <w:rsid w:val="00F460D5"/>
    <w:rsid w:val="00F465BD"/>
    <w:rsid w:val="00F54B33"/>
    <w:rsid w:val="00F65332"/>
    <w:rsid w:val="00F75339"/>
    <w:rsid w:val="00F806F5"/>
    <w:rsid w:val="00F82FAB"/>
    <w:rsid w:val="00F86568"/>
    <w:rsid w:val="00F86971"/>
    <w:rsid w:val="00F9585E"/>
    <w:rsid w:val="00F96C9E"/>
    <w:rsid w:val="00FD367C"/>
    <w:rsid w:val="00FE1E59"/>
    <w:rsid w:val="00FF0F73"/>
    <w:rsid w:val="035A307B"/>
    <w:rsid w:val="06A91508"/>
    <w:rsid w:val="07DA22AC"/>
    <w:rsid w:val="0B065AD9"/>
    <w:rsid w:val="0CB8153E"/>
    <w:rsid w:val="101E57A1"/>
    <w:rsid w:val="112C06D3"/>
    <w:rsid w:val="1B183711"/>
    <w:rsid w:val="1B6B58C9"/>
    <w:rsid w:val="1BAD4B36"/>
    <w:rsid w:val="1D1C5248"/>
    <w:rsid w:val="1F2510A1"/>
    <w:rsid w:val="217873E8"/>
    <w:rsid w:val="21B33E1E"/>
    <w:rsid w:val="2416239C"/>
    <w:rsid w:val="25265D11"/>
    <w:rsid w:val="273B066D"/>
    <w:rsid w:val="27FE583A"/>
    <w:rsid w:val="28C81051"/>
    <w:rsid w:val="31306154"/>
    <w:rsid w:val="37586AB2"/>
    <w:rsid w:val="38990D11"/>
    <w:rsid w:val="3B657146"/>
    <w:rsid w:val="3DEE640E"/>
    <w:rsid w:val="43927C7D"/>
    <w:rsid w:val="43C91DFE"/>
    <w:rsid w:val="46AC4F69"/>
    <w:rsid w:val="49F02017"/>
    <w:rsid w:val="4BE16B97"/>
    <w:rsid w:val="506803B7"/>
    <w:rsid w:val="516E78F6"/>
    <w:rsid w:val="52856D97"/>
    <w:rsid w:val="55015179"/>
    <w:rsid w:val="59387857"/>
    <w:rsid w:val="5E9E666C"/>
    <w:rsid w:val="61884741"/>
    <w:rsid w:val="63EA3BE9"/>
    <w:rsid w:val="64D4595F"/>
    <w:rsid w:val="66403954"/>
    <w:rsid w:val="6B6F1F3F"/>
    <w:rsid w:val="6C2B6B49"/>
    <w:rsid w:val="74D2313D"/>
    <w:rsid w:val="753326F4"/>
    <w:rsid w:val="7B18031F"/>
    <w:rsid w:val="7E7D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3187A"/>
  <w15:docId w15:val="{5DD21A67-3031-40AF-9C0B-B065B5C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character" w:customStyle="1" w:styleId="a6">
    <w:name w:val="页眉 字符"/>
    <w:basedOn w:val="a0"/>
    <w:link w:val="a5"/>
    <w:autoRedefine/>
    <w:uiPriority w:val="99"/>
    <w:qFormat/>
    <w:rPr>
      <w:rFonts w:ascii="Times New Roman" w:eastAsia="宋体" w:hAnsi="Times New Roman" w:cs="Times New Roman"/>
      <w:kern w:val="0"/>
      <w:sz w:val="18"/>
      <w:szCs w:val="18"/>
    </w:rPr>
  </w:style>
  <w:style w:type="character" w:customStyle="1" w:styleId="a4">
    <w:name w:val="页脚 字符"/>
    <w:basedOn w:val="a0"/>
    <w:link w:val="a3"/>
    <w:autoRedefine/>
    <w:uiPriority w:val="99"/>
    <w:qFormat/>
    <w:rPr>
      <w:rFonts w:ascii="Times New Roman" w:eastAsia="宋体" w:hAnsi="Times New Roman" w:cs="Times New Roman"/>
      <w:kern w:val="0"/>
      <w:sz w:val="18"/>
      <w:szCs w:val="18"/>
    </w:rPr>
  </w:style>
  <w:style w:type="paragraph" w:styleId="a7">
    <w:name w:val="List Paragraph"/>
    <w:basedOn w:val="a"/>
    <w:autoRedefine/>
    <w:uiPriority w:val="34"/>
    <w:qFormat/>
    <w:pPr>
      <w:ind w:firstLineChars="200" w:firstLine="420"/>
    </w:pPr>
  </w:style>
  <w:style w:type="paragraph" w:styleId="a8">
    <w:name w:val="Revision"/>
    <w:hidden/>
    <w:uiPriority w:val="99"/>
    <w:semiHidden/>
    <w:rsid w:val="009F1E18"/>
  </w:style>
  <w:style w:type="character" w:styleId="a9">
    <w:name w:val="annotation reference"/>
    <w:basedOn w:val="a0"/>
    <w:uiPriority w:val="99"/>
    <w:semiHidden/>
    <w:unhideWhenUsed/>
    <w:rsid w:val="00D25DE3"/>
    <w:rPr>
      <w:sz w:val="21"/>
      <w:szCs w:val="21"/>
    </w:rPr>
  </w:style>
  <w:style w:type="paragraph" w:styleId="aa">
    <w:name w:val="annotation text"/>
    <w:basedOn w:val="a"/>
    <w:link w:val="ab"/>
    <w:uiPriority w:val="99"/>
    <w:unhideWhenUsed/>
    <w:rsid w:val="00D25DE3"/>
  </w:style>
  <w:style w:type="character" w:customStyle="1" w:styleId="ab">
    <w:name w:val="批注文字 字符"/>
    <w:basedOn w:val="a0"/>
    <w:link w:val="aa"/>
    <w:uiPriority w:val="99"/>
    <w:rsid w:val="00D25DE3"/>
  </w:style>
  <w:style w:type="paragraph" w:styleId="ac">
    <w:name w:val="annotation subject"/>
    <w:basedOn w:val="aa"/>
    <w:next w:val="aa"/>
    <w:link w:val="ad"/>
    <w:uiPriority w:val="99"/>
    <w:semiHidden/>
    <w:unhideWhenUsed/>
    <w:rsid w:val="00D25DE3"/>
    <w:rPr>
      <w:b/>
      <w:bCs/>
    </w:rPr>
  </w:style>
  <w:style w:type="character" w:customStyle="1" w:styleId="ad">
    <w:name w:val="批注主题 字符"/>
    <w:basedOn w:val="ab"/>
    <w:link w:val="ac"/>
    <w:uiPriority w:val="99"/>
    <w:semiHidden/>
    <w:rsid w:val="00D25DE3"/>
    <w:rPr>
      <w:b/>
      <w:bCs/>
    </w:rPr>
  </w:style>
  <w:style w:type="paragraph" w:styleId="ae">
    <w:name w:val="Balloon Text"/>
    <w:basedOn w:val="a"/>
    <w:link w:val="af"/>
    <w:uiPriority w:val="99"/>
    <w:semiHidden/>
    <w:unhideWhenUsed/>
    <w:rsid w:val="00102D99"/>
    <w:rPr>
      <w:sz w:val="18"/>
      <w:szCs w:val="18"/>
    </w:rPr>
  </w:style>
  <w:style w:type="character" w:customStyle="1" w:styleId="af">
    <w:name w:val="批注框文本 字符"/>
    <w:basedOn w:val="a0"/>
    <w:link w:val="ae"/>
    <w:uiPriority w:val="99"/>
    <w:semiHidden/>
    <w:rsid w:val="00102D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183</Words>
  <Characters>1044</Characters>
  <Application>Microsoft Office Word</Application>
  <DocSecurity>0</DocSecurity>
  <Lines>8</Lines>
  <Paragraphs>2</Paragraphs>
  <ScaleCrop>false</ScaleCrop>
  <Company>中国微软</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李骏</dc:creator>
  <cp:lastModifiedBy>李骏</cp:lastModifiedBy>
  <cp:revision>144</cp:revision>
  <dcterms:created xsi:type="dcterms:W3CDTF">2023-09-29T02:14:00Z</dcterms:created>
  <dcterms:modified xsi:type="dcterms:W3CDTF">2024-07-05T06:21:00Z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B00ADF5455C241B89CA770AC4CF7EC48_13</vt:lpwstr>
  </property>
</Properties>
</file>