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E3" w:rsidRPr="00AD77B1" w:rsidRDefault="0048614B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 w:rsidRPr="00AD77B1">
        <w:rPr>
          <w:rFonts w:ascii="黑体" w:eastAsia="黑体" w:hint="eastAsia"/>
          <w:sz w:val="28"/>
        </w:rPr>
        <w:t>证券代码：</w:t>
      </w:r>
      <w:r w:rsidRPr="00AD77B1">
        <w:rPr>
          <w:rFonts w:ascii="黑体" w:eastAsia="黑体"/>
          <w:sz w:val="28"/>
        </w:rPr>
        <w:t xml:space="preserve">600237 </w:t>
      </w:r>
      <w:r w:rsidRPr="00AD77B1">
        <w:rPr>
          <w:rFonts w:ascii="黑体" w:eastAsia="黑体" w:hint="eastAsia"/>
          <w:sz w:val="28"/>
        </w:rPr>
        <w:t xml:space="preserve">  </w:t>
      </w:r>
      <w:r w:rsidRPr="00AD77B1">
        <w:rPr>
          <w:rFonts w:ascii="黑体" w:eastAsia="黑体"/>
          <w:sz w:val="28"/>
        </w:rPr>
        <w:t xml:space="preserve"> </w:t>
      </w:r>
      <w:r w:rsidRPr="00AD77B1">
        <w:rPr>
          <w:rFonts w:ascii="黑体" w:eastAsia="黑体" w:hint="eastAsia"/>
          <w:sz w:val="28"/>
        </w:rPr>
        <w:t>证券简称：铜峰电子</w:t>
      </w:r>
      <w:r w:rsidRPr="00AD77B1">
        <w:rPr>
          <w:rFonts w:ascii="黑体" w:eastAsia="黑体"/>
          <w:sz w:val="28"/>
        </w:rPr>
        <w:t xml:space="preserve"> </w:t>
      </w:r>
      <w:r w:rsidRPr="00AD77B1">
        <w:rPr>
          <w:rFonts w:ascii="黑体" w:eastAsia="黑体" w:hint="eastAsia"/>
          <w:sz w:val="28"/>
        </w:rPr>
        <w:t xml:space="preserve">  </w:t>
      </w:r>
      <w:r w:rsidRPr="00AD77B1">
        <w:rPr>
          <w:rFonts w:ascii="黑体" w:eastAsia="黑体"/>
          <w:sz w:val="28"/>
        </w:rPr>
        <w:t xml:space="preserve"> </w:t>
      </w:r>
      <w:r w:rsidRPr="00AD77B1">
        <w:rPr>
          <w:rFonts w:ascii="黑体" w:eastAsia="黑体" w:hint="eastAsia"/>
          <w:sz w:val="28"/>
        </w:rPr>
        <w:t>公告编号：临2024-005</w:t>
      </w:r>
    </w:p>
    <w:p w:rsidR="006701E3" w:rsidRDefault="006701E3">
      <w:pPr>
        <w:adjustRightInd w:val="0"/>
        <w:snapToGrid w:val="0"/>
        <w:spacing w:line="360" w:lineRule="auto"/>
        <w:rPr>
          <w:rFonts w:ascii="黑体" w:eastAsia="黑体"/>
          <w:sz w:val="30"/>
        </w:rPr>
      </w:pPr>
    </w:p>
    <w:p w:rsidR="006701E3" w:rsidRDefault="0048614B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安徽铜峰电子股份有限公司</w:t>
      </w:r>
    </w:p>
    <w:p w:rsidR="006701E3" w:rsidRDefault="0048614B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关于</w:t>
      </w:r>
      <w:r>
        <w:rPr>
          <w:rFonts w:ascii="黑体" w:eastAsia="黑体"/>
          <w:color w:val="FF0000"/>
          <w:sz w:val="36"/>
          <w:szCs w:val="36"/>
        </w:rPr>
        <w:t>20</w:t>
      </w:r>
      <w:r>
        <w:rPr>
          <w:rFonts w:ascii="黑体" w:eastAsia="黑体" w:hint="eastAsia"/>
          <w:color w:val="FF0000"/>
          <w:sz w:val="36"/>
          <w:szCs w:val="36"/>
        </w:rPr>
        <w:t>23年度拟不进行利润分配的公告</w:t>
      </w:r>
    </w:p>
    <w:p w:rsidR="006701E3" w:rsidRDefault="006701E3">
      <w:pPr>
        <w:adjustRightInd w:val="0"/>
        <w:snapToGrid w:val="0"/>
        <w:spacing w:line="360" w:lineRule="auto"/>
        <w:jc w:val="center"/>
        <w:rPr>
          <w:rFonts w:ascii="黑体" w:eastAsia="黑体"/>
          <w:sz w:val="30"/>
        </w:rPr>
      </w:pPr>
    </w:p>
    <w:p w:rsidR="006701E3" w:rsidRDefault="0048614B">
      <w:pPr>
        <w:adjustRightInd w:val="0"/>
        <w:snapToGrid w:val="0"/>
        <w:spacing w:line="336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6701E3" w:rsidRDefault="006701E3">
      <w:pPr>
        <w:adjustRightInd w:val="0"/>
        <w:snapToGrid w:val="0"/>
        <w:spacing w:line="360" w:lineRule="auto"/>
        <w:ind w:firstLine="567"/>
        <w:rPr>
          <w:rFonts w:ascii="宋体" w:hAnsi="宋体"/>
          <w:sz w:val="24"/>
          <w:szCs w:val="24"/>
        </w:rPr>
      </w:pPr>
    </w:p>
    <w:p w:rsidR="006701E3" w:rsidRDefault="0048614B">
      <w:pPr>
        <w:pStyle w:val="Default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="Wingdings" w:hAnsi="Wingdings" w:cs="Wingdings"/>
        </w:rPr>
        <w:t></w:t>
      </w:r>
      <w:r>
        <w:rPr>
          <w:rFonts w:ascii="Wingdings" w:hAnsi="Wingdings" w:cs="Wingdings"/>
        </w:rPr>
        <w:t></w:t>
      </w:r>
      <w:r>
        <w:rPr>
          <w:rFonts w:asciiTheme="minorEastAsia" w:eastAsiaTheme="minorEastAsia" w:hAnsiTheme="minorEastAsia" w:cs="Times New Roman"/>
        </w:rPr>
        <w:t>20</w:t>
      </w:r>
      <w:r>
        <w:rPr>
          <w:rFonts w:asciiTheme="minorEastAsia" w:eastAsiaTheme="minorEastAsia" w:hAnsiTheme="minorEastAsia" w:cs="Times New Roman" w:hint="eastAsia"/>
        </w:rPr>
        <w:t>23</w:t>
      </w:r>
      <w:r>
        <w:rPr>
          <w:rFonts w:asciiTheme="minorEastAsia" w:eastAsiaTheme="minorEastAsia" w:hAnsiTheme="minorEastAsia" w:hint="eastAsia"/>
        </w:rPr>
        <w:t>年度利润分配预案为：</w:t>
      </w:r>
      <w:r>
        <w:rPr>
          <w:rFonts w:hint="eastAsia"/>
        </w:rPr>
        <w:t>不分配、也不进行公积金转增股本</w:t>
      </w:r>
      <w:r>
        <w:rPr>
          <w:rFonts w:asciiTheme="minorEastAsia" w:eastAsiaTheme="minorEastAsia" w:hAnsiTheme="minorEastAsia" w:hint="eastAsia"/>
        </w:rPr>
        <w:t>。</w:t>
      </w:r>
    </w:p>
    <w:p w:rsidR="006701E3" w:rsidRDefault="0048614B">
      <w:pPr>
        <w:pStyle w:val="Default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="Wingdings" w:hAnsi="Wingdings" w:cs="Wingdings"/>
        </w:rPr>
        <w:t></w:t>
      </w:r>
      <w:r>
        <w:rPr>
          <w:rFonts w:ascii="Wingdings" w:hAnsi="Wingdings" w:cs="Wingdings"/>
        </w:rPr>
        <w:t></w:t>
      </w:r>
      <w:r>
        <w:rPr>
          <w:rFonts w:asciiTheme="minorEastAsia" w:eastAsiaTheme="minorEastAsia" w:hAnsiTheme="minorEastAsia" w:hint="eastAsia"/>
          <w:color w:val="000000" w:themeColor="text1"/>
        </w:rPr>
        <w:t>本次利润分配预案已经公司第十届董事会第二次会议、第十届监事会第二次会议审议通过，尚需提交公司</w:t>
      </w:r>
      <w:r>
        <w:rPr>
          <w:rFonts w:asciiTheme="minorEastAsia" w:eastAsiaTheme="minorEastAsia" w:hAnsiTheme="minorEastAsia" w:cs="Times New Roman"/>
          <w:color w:val="000000" w:themeColor="text1"/>
        </w:rPr>
        <w:t>20</w:t>
      </w:r>
      <w:r>
        <w:rPr>
          <w:rFonts w:asciiTheme="minorEastAsia" w:eastAsiaTheme="minorEastAsia" w:hAnsiTheme="minorEastAsia" w:cs="Times New Roman" w:hint="eastAsia"/>
          <w:color w:val="000000" w:themeColor="text1"/>
        </w:rPr>
        <w:t>2</w:t>
      </w:r>
      <w:r w:rsidR="00445FE8">
        <w:rPr>
          <w:rFonts w:asciiTheme="minorEastAsia" w:eastAsiaTheme="minorEastAsia" w:hAnsiTheme="minorEastAsia" w:cs="Times New Roman"/>
          <w:color w:val="000000" w:themeColor="text1"/>
        </w:rPr>
        <w:t>3</w:t>
      </w:r>
      <w:r>
        <w:rPr>
          <w:rFonts w:asciiTheme="minorEastAsia" w:eastAsiaTheme="minorEastAsia" w:hAnsiTheme="minorEastAsia" w:hint="eastAsia"/>
          <w:color w:val="000000" w:themeColor="text1"/>
        </w:rPr>
        <w:t>年年度股东大会审议</w:t>
      </w:r>
      <w:r>
        <w:rPr>
          <w:rFonts w:asciiTheme="minorEastAsia" w:eastAsiaTheme="minorEastAsia" w:hAnsiTheme="minorEastAsia" w:hint="eastAsia"/>
        </w:rPr>
        <w:t>。</w:t>
      </w:r>
    </w:p>
    <w:p w:rsidR="006701E3" w:rsidRDefault="006701E3" w:rsidP="006638C0">
      <w:pPr>
        <w:pStyle w:val="Default"/>
        <w:snapToGrid w:val="0"/>
        <w:spacing w:line="360" w:lineRule="auto"/>
        <w:rPr>
          <w:rFonts w:hAnsi="Times New Roman"/>
        </w:rPr>
      </w:pPr>
    </w:p>
    <w:p w:rsidR="006701E3" w:rsidRDefault="0048614B" w:rsidP="006638C0">
      <w:pPr>
        <w:pStyle w:val="Default"/>
        <w:snapToGrid w:val="0"/>
        <w:spacing w:line="360" w:lineRule="auto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一、公司</w:t>
      </w:r>
      <w:r>
        <w:rPr>
          <w:rFonts w:ascii="黑体" w:eastAsia="黑体" w:hAnsi="黑体" w:cs="Times New Roman"/>
          <w:bCs/>
        </w:rPr>
        <w:t>20</w:t>
      </w:r>
      <w:r>
        <w:rPr>
          <w:rFonts w:ascii="黑体" w:eastAsia="黑体" w:hAnsi="黑体" w:cs="Times New Roman" w:hint="eastAsia"/>
          <w:bCs/>
        </w:rPr>
        <w:t>23</w:t>
      </w:r>
      <w:r>
        <w:rPr>
          <w:rFonts w:ascii="黑体" w:eastAsia="黑体" w:hAnsi="黑体" w:hint="eastAsia"/>
        </w:rPr>
        <w:t>年度利润分配预案</w:t>
      </w:r>
      <w:r>
        <w:rPr>
          <w:rFonts w:ascii="黑体" w:eastAsia="黑体" w:hAnsi="黑体"/>
        </w:rPr>
        <w:t xml:space="preserve"> </w:t>
      </w:r>
    </w:p>
    <w:p w:rsidR="00DC23DB" w:rsidRDefault="0048614B" w:rsidP="00DC23DB">
      <w:pPr>
        <w:pStyle w:val="a7"/>
        <w:spacing w:before="0" w:beforeAutospacing="0" w:after="0" w:afterAutospacing="0" w:line="360" w:lineRule="auto"/>
        <w:ind w:firstLine="480"/>
        <w:jc w:val="both"/>
      </w:pPr>
      <w:bookmarkStart w:id="0" w:name="_GoBack"/>
      <w:bookmarkEnd w:id="0"/>
      <w:r w:rsidRPr="006638C0">
        <w:rPr>
          <w:rFonts w:hint="eastAsia"/>
        </w:rPr>
        <w:t>经容诚会计师事务所（特殊普通合伙）审计，</w:t>
      </w:r>
      <w:r w:rsidR="00DC23DB">
        <w:rPr>
          <w:rFonts w:hint="eastAsia"/>
        </w:rPr>
        <w:t>截止2023年12月31日</w:t>
      </w:r>
      <w:r w:rsidR="00DC23DB">
        <w:t>，</w:t>
      </w:r>
      <w:r w:rsidR="00DC23DB">
        <w:rPr>
          <w:rFonts w:hint="eastAsia"/>
        </w:rPr>
        <w:t>安徽</w:t>
      </w:r>
      <w:r w:rsidR="00DC23DB">
        <w:t>铜峰电子股份有限公司（</w:t>
      </w:r>
      <w:r w:rsidR="00DC23DB">
        <w:rPr>
          <w:rFonts w:hint="eastAsia"/>
        </w:rPr>
        <w:t>以</w:t>
      </w:r>
      <w:r w:rsidR="00DC23DB">
        <w:t>下简称“</w:t>
      </w:r>
      <w:r w:rsidR="00DC23DB">
        <w:rPr>
          <w:rFonts w:hint="eastAsia"/>
        </w:rPr>
        <w:t>公司</w:t>
      </w:r>
      <w:r w:rsidR="00DC23DB">
        <w:t>”）</w:t>
      </w:r>
      <w:r w:rsidRPr="00445FE8">
        <w:t>母公司实现的净利润为8</w:t>
      </w:r>
      <w:r w:rsidR="006638C0">
        <w:rPr>
          <w:rFonts w:hint="eastAsia"/>
        </w:rPr>
        <w:t>5</w:t>
      </w:r>
      <w:r w:rsidRPr="00445FE8">
        <w:rPr>
          <w:rFonts w:hint="eastAsia"/>
        </w:rPr>
        <w:t>,</w:t>
      </w:r>
      <w:r w:rsidR="006638C0">
        <w:rPr>
          <w:rFonts w:hint="eastAsia"/>
        </w:rPr>
        <w:t>533</w:t>
      </w:r>
      <w:r w:rsidRPr="00445FE8">
        <w:rPr>
          <w:rFonts w:hint="eastAsia"/>
        </w:rPr>
        <w:t>,</w:t>
      </w:r>
      <w:r w:rsidR="006638C0">
        <w:rPr>
          <w:rFonts w:hint="eastAsia"/>
        </w:rPr>
        <w:t>0</w:t>
      </w:r>
      <w:r w:rsidRPr="00445FE8">
        <w:t>1</w:t>
      </w:r>
      <w:r w:rsidR="006638C0">
        <w:rPr>
          <w:rFonts w:hint="eastAsia"/>
        </w:rPr>
        <w:t>4</w:t>
      </w:r>
      <w:r w:rsidRPr="00445FE8">
        <w:t>.</w:t>
      </w:r>
      <w:r w:rsidR="006638C0">
        <w:rPr>
          <w:rFonts w:hint="eastAsia"/>
        </w:rPr>
        <w:t>33</w:t>
      </w:r>
      <w:r w:rsidRPr="00445FE8">
        <w:t>元，</w:t>
      </w:r>
      <w:r w:rsidR="006638C0" w:rsidRPr="006638C0">
        <w:t>加上年初未分配利润</w:t>
      </w:r>
      <w:r w:rsidR="006638C0" w:rsidRPr="006638C0">
        <w:rPr>
          <w:rFonts w:hint="eastAsia"/>
        </w:rPr>
        <w:t>-229,385,348.03元，截止2023年末母公司可供股东分配的利润为-145,852,333.70元。</w:t>
      </w:r>
    </w:p>
    <w:p w:rsidR="006701E3" w:rsidRDefault="0048614B" w:rsidP="00DC23DB">
      <w:pPr>
        <w:pStyle w:val="a7"/>
        <w:spacing w:before="0" w:beforeAutospacing="0" w:after="0" w:afterAutospacing="0" w:line="360" w:lineRule="auto"/>
        <w:ind w:firstLine="480"/>
        <w:jc w:val="both"/>
      </w:pPr>
      <w:r w:rsidRPr="006638C0">
        <w:rPr>
          <w:rFonts w:hint="eastAsia"/>
        </w:rPr>
        <w:t>鉴于2023年度母公司可供股东分配利润为负，2023年度利润分配预案为：不分配、也不进行公积金转增股本。以上利润分配预案尚需提交公司2023年年度股东大会审议</w:t>
      </w:r>
      <w:r>
        <w:rPr>
          <w:rFonts w:hint="eastAsia"/>
        </w:rPr>
        <w:t>。</w:t>
      </w:r>
    </w:p>
    <w:p w:rsidR="006701E3" w:rsidRDefault="006701E3">
      <w:pPr>
        <w:pStyle w:val="Default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6701E3" w:rsidRDefault="0048614B">
      <w:pPr>
        <w:pStyle w:val="Default"/>
        <w:snapToGrid w:val="0"/>
        <w:spacing w:line="360" w:lineRule="auto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</w:t>
      </w:r>
      <w:r>
        <w:rPr>
          <w:rFonts w:ascii="黑体" w:eastAsia="黑体" w:hAnsi="黑体" w:cs="Times New Roman"/>
          <w:bCs/>
        </w:rPr>
        <w:t>20</w:t>
      </w:r>
      <w:r>
        <w:rPr>
          <w:rFonts w:ascii="黑体" w:eastAsia="黑体" w:hAnsi="黑体" w:cs="Times New Roman" w:hint="eastAsia"/>
          <w:bCs/>
        </w:rPr>
        <w:t>23</w:t>
      </w:r>
      <w:r w:rsidR="00AF0C94">
        <w:rPr>
          <w:rFonts w:ascii="黑体" w:eastAsia="黑体" w:hAnsi="黑体" w:hint="eastAsia"/>
        </w:rPr>
        <w:t>年度不进行利润分配的情况说明</w:t>
      </w:r>
    </w:p>
    <w:p w:rsidR="006701E3" w:rsidRDefault="00AF0C94">
      <w:pPr>
        <w:pStyle w:val="Default"/>
        <w:snapToGrid w:val="0"/>
        <w:spacing w:line="360" w:lineRule="auto"/>
        <w:ind w:firstLineChars="200" w:firstLine="480"/>
        <w:rPr>
          <w:rFonts w:hAnsi="宋体" w:cs="Times New Roman"/>
          <w:color w:val="auto"/>
        </w:rPr>
      </w:pPr>
      <w:r w:rsidRPr="00AF0C94">
        <w:rPr>
          <w:rFonts w:hAnsi="宋体" w:cs="Times New Roman"/>
          <w:color w:val="auto"/>
        </w:rPr>
        <w:t>经</w:t>
      </w:r>
      <w:r>
        <w:rPr>
          <w:rFonts w:hAnsi="宋体" w:cs="Times New Roman" w:hint="eastAsia"/>
          <w:color w:val="auto"/>
        </w:rPr>
        <w:t>容诚会计师事务所</w:t>
      </w:r>
      <w:r w:rsidRPr="00AF0C94">
        <w:rPr>
          <w:rFonts w:hAnsi="宋体" w:cs="Times New Roman"/>
          <w:color w:val="auto"/>
        </w:rPr>
        <w:t>（特殊普通合伙）审计，截至 2023 年 12 月 31 日，公司母公司未分配利润</w:t>
      </w:r>
      <w:r w:rsidRPr="006638C0">
        <w:rPr>
          <w:rFonts w:hint="eastAsia"/>
        </w:rPr>
        <w:t>为-145,852,333.70元</w:t>
      </w:r>
      <w:r w:rsidRPr="00AF0C94">
        <w:rPr>
          <w:rFonts w:hAnsi="宋体" w:cs="Times New Roman"/>
          <w:color w:val="auto"/>
        </w:rPr>
        <w:t>，公司没有可供分配的利润。同时为保障公司正常生产经营，实现公司持续、稳定、健康发展，更好地维护全体股东 的长远利益，综合考虑公司长期发展和短期经营实际，根据《关于进一步落实上 市公司现金分红有关事项的通知》、《上市公司监管指引第 3 号——上市公司现 金分红》、《上海证券交易所上市公司现金分红指引》等相关法律法规</w:t>
      </w:r>
      <w:r w:rsidRPr="00AF0C94">
        <w:rPr>
          <w:rFonts w:hAnsi="宋体" w:cs="Times New Roman"/>
          <w:color w:val="auto"/>
        </w:rPr>
        <w:lastRenderedPageBreak/>
        <w:t>及《公司 章程》的相关规定，拟定 2023 年度利润分配预案为：不进行利润分配，也不进行资本公积金转增股本或其他形式的分配。</w:t>
      </w:r>
    </w:p>
    <w:p w:rsidR="00DC23DB" w:rsidRPr="00AF0C94" w:rsidRDefault="00DC23DB">
      <w:pPr>
        <w:pStyle w:val="Default"/>
        <w:snapToGrid w:val="0"/>
        <w:spacing w:line="360" w:lineRule="auto"/>
        <w:ind w:firstLineChars="200" w:firstLine="480"/>
        <w:rPr>
          <w:rFonts w:hAnsi="宋体" w:cs="Times New Roman"/>
          <w:color w:val="auto"/>
        </w:rPr>
      </w:pPr>
    </w:p>
    <w:p w:rsidR="006701E3" w:rsidRDefault="0048614B">
      <w:pPr>
        <w:pStyle w:val="Default"/>
        <w:snapToGrid w:val="0"/>
        <w:spacing w:line="360" w:lineRule="auto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</w:t>
      </w:r>
      <w:r w:rsidR="00AF0C94">
        <w:rPr>
          <w:rFonts w:ascii="黑体" w:eastAsia="黑体" w:hAnsi="黑体" w:hint="eastAsia"/>
        </w:rPr>
        <w:t>公司履行的决策程序</w:t>
      </w:r>
    </w:p>
    <w:p w:rsidR="00DC23DB" w:rsidRDefault="00DC23DB" w:rsidP="00AF0C94">
      <w:pPr>
        <w:pStyle w:val="Default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（一</w:t>
      </w:r>
      <w:r>
        <w:rPr>
          <w:rFonts w:asciiTheme="minorEastAsia" w:eastAsiaTheme="minorEastAsia" w:hAnsiTheme="minorEastAsia"/>
          <w:color w:val="auto"/>
        </w:rPr>
        <w:t>）</w:t>
      </w:r>
      <w:r>
        <w:rPr>
          <w:rFonts w:asciiTheme="minorEastAsia" w:eastAsiaTheme="minorEastAsia" w:hAnsiTheme="minorEastAsia" w:hint="eastAsia"/>
          <w:color w:val="auto"/>
        </w:rPr>
        <w:t>董事</w:t>
      </w:r>
      <w:r>
        <w:rPr>
          <w:rFonts w:asciiTheme="minorEastAsia" w:eastAsiaTheme="minorEastAsia" w:hAnsiTheme="minorEastAsia"/>
          <w:color w:val="auto"/>
        </w:rPr>
        <w:t>会会议的召开、审议和表决情况</w:t>
      </w:r>
    </w:p>
    <w:p w:rsidR="00AF0C94" w:rsidRPr="00AF0C94" w:rsidRDefault="00AF0C94" w:rsidP="00AF0C94">
      <w:pPr>
        <w:pStyle w:val="Default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公司</w:t>
      </w:r>
      <w:r w:rsidR="00DC23DB">
        <w:rPr>
          <w:rFonts w:asciiTheme="minorEastAsia" w:eastAsiaTheme="minorEastAsia" w:hAnsiTheme="minorEastAsia" w:hint="eastAsia"/>
          <w:color w:val="auto"/>
        </w:rPr>
        <w:t>于2024年3月16日</w:t>
      </w:r>
      <w:r w:rsidR="00DC23DB">
        <w:rPr>
          <w:rFonts w:asciiTheme="minorEastAsia" w:eastAsiaTheme="minorEastAsia" w:hAnsiTheme="minorEastAsia"/>
          <w:color w:val="auto"/>
        </w:rPr>
        <w:t>召开</w:t>
      </w:r>
      <w:r>
        <w:rPr>
          <w:rFonts w:asciiTheme="minorEastAsia" w:eastAsiaTheme="minorEastAsia" w:hAnsiTheme="minorEastAsia" w:hint="eastAsia"/>
          <w:color w:val="auto"/>
        </w:rPr>
        <w:t>第十届董事会第二次会议</w:t>
      </w:r>
      <w:r w:rsidR="00DC23DB">
        <w:rPr>
          <w:rFonts w:asciiTheme="minorEastAsia" w:eastAsiaTheme="minorEastAsia" w:hAnsiTheme="minorEastAsia" w:hint="eastAsia"/>
          <w:color w:val="auto"/>
        </w:rPr>
        <w:t>，</w:t>
      </w:r>
      <w:r>
        <w:rPr>
          <w:rFonts w:asciiTheme="minorEastAsia" w:eastAsiaTheme="minorEastAsia" w:hAnsiTheme="minorEastAsia" w:hint="eastAsia"/>
          <w:color w:val="auto"/>
        </w:rPr>
        <w:t>审议通过了《公司</w:t>
      </w:r>
      <w:r>
        <w:rPr>
          <w:rFonts w:asciiTheme="minorEastAsia" w:eastAsiaTheme="minorEastAsia" w:hAnsiTheme="minorEastAsia" w:cs="Times New Roman"/>
          <w:color w:val="auto"/>
        </w:rPr>
        <w:t>20</w:t>
      </w:r>
      <w:r>
        <w:rPr>
          <w:rFonts w:asciiTheme="minorEastAsia" w:eastAsiaTheme="minorEastAsia" w:hAnsiTheme="minorEastAsia" w:cs="Times New Roman" w:hint="eastAsia"/>
          <w:color w:val="auto"/>
        </w:rPr>
        <w:t>23</w:t>
      </w:r>
      <w:r>
        <w:rPr>
          <w:rFonts w:asciiTheme="minorEastAsia" w:eastAsiaTheme="minorEastAsia" w:hAnsiTheme="minorEastAsia" w:hint="eastAsia"/>
          <w:color w:val="auto"/>
        </w:rPr>
        <w:t>年度利润分配预案》，</w:t>
      </w:r>
      <w:r w:rsidR="00DC23DB">
        <w:rPr>
          <w:rFonts w:asciiTheme="minorEastAsia" w:eastAsiaTheme="minorEastAsia" w:hAnsiTheme="minorEastAsia" w:hint="eastAsia"/>
          <w:color w:val="auto"/>
        </w:rPr>
        <w:t>本方案</w:t>
      </w:r>
      <w:r w:rsidR="00DC23DB">
        <w:rPr>
          <w:rFonts w:asciiTheme="minorEastAsia" w:eastAsiaTheme="minorEastAsia" w:hAnsiTheme="minorEastAsia"/>
          <w:color w:val="auto"/>
        </w:rPr>
        <w:t>符合公司章程规定的利润</w:t>
      </w:r>
      <w:r w:rsidR="00DC23DB">
        <w:rPr>
          <w:rFonts w:asciiTheme="minorEastAsia" w:eastAsiaTheme="minorEastAsia" w:hAnsiTheme="minorEastAsia" w:hint="eastAsia"/>
          <w:color w:val="auto"/>
        </w:rPr>
        <w:t>分</w:t>
      </w:r>
      <w:r w:rsidR="00DC23DB">
        <w:rPr>
          <w:rFonts w:asciiTheme="minorEastAsia" w:eastAsiaTheme="minorEastAsia" w:hAnsiTheme="minorEastAsia"/>
          <w:color w:val="auto"/>
        </w:rPr>
        <w:t>配政策和公司已披露的股东回报</w:t>
      </w:r>
      <w:r w:rsidR="00DC23DB">
        <w:rPr>
          <w:rFonts w:asciiTheme="minorEastAsia" w:eastAsiaTheme="minorEastAsia" w:hAnsiTheme="minorEastAsia" w:hint="eastAsia"/>
          <w:color w:val="auto"/>
        </w:rPr>
        <w:t>规划</w:t>
      </w:r>
      <w:r w:rsidR="00DC23DB">
        <w:rPr>
          <w:rFonts w:asciiTheme="minorEastAsia" w:eastAsiaTheme="minorEastAsia" w:hAnsiTheme="minorEastAsia"/>
          <w:color w:val="auto"/>
        </w:rPr>
        <w:t>。董事会</w:t>
      </w:r>
      <w:r>
        <w:rPr>
          <w:rFonts w:asciiTheme="minorEastAsia" w:eastAsiaTheme="minorEastAsia" w:hAnsiTheme="minorEastAsia" w:hint="eastAsia"/>
          <w:color w:val="auto"/>
        </w:rPr>
        <w:t>同意将该预案提交公司</w:t>
      </w:r>
      <w:r>
        <w:rPr>
          <w:rFonts w:asciiTheme="minorEastAsia" w:eastAsiaTheme="minorEastAsia" w:hAnsiTheme="minorEastAsia" w:cs="Times New Roman"/>
          <w:color w:val="auto"/>
        </w:rPr>
        <w:t>20</w:t>
      </w:r>
      <w:r>
        <w:rPr>
          <w:rFonts w:asciiTheme="minorEastAsia" w:eastAsiaTheme="minorEastAsia" w:hAnsiTheme="minorEastAsia" w:cs="Times New Roman" w:hint="eastAsia"/>
          <w:color w:val="auto"/>
        </w:rPr>
        <w:t>23</w:t>
      </w:r>
      <w:r>
        <w:rPr>
          <w:rFonts w:asciiTheme="minorEastAsia" w:eastAsiaTheme="minorEastAsia" w:hAnsiTheme="minorEastAsia" w:hint="eastAsia"/>
          <w:color w:val="auto"/>
        </w:rPr>
        <w:t>年年度股东大会审议。</w:t>
      </w:r>
    </w:p>
    <w:p w:rsidR="006701E3" w:rsidRPr="00DC23DB" w:rsidRDefault="00DC23DB">
      <w:pPr>
        <w:pStyle w:val="Default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DC23DB">
        <w:rPr>
          <w:rFonts w:asciiTheme="minorEastAsia" w:eastAsiaTheme="minorEastAsia" w:hAnsiTheme="minorEastAsia" w:hint="eastAsia"/>
          <w:color w:val="auto"/>
        </w:rPr>
        <w:t>（二</w:t>
      </w:r>
      <w:r w:rsidRPr="00DC23DB">
        <w:rPr>
          <w:rFonts w:asciiTheme="minorEastAsia" w:eastAsiaTheme="minorEastAsia" w:hAnsiTheme="minorEastAsia"/>
          <w:color w:val="auto"/>
        </w:rPr>
        <w:t>）</w:t>
      </w:r>
      <w:r w:rsidR="0048614B" w:rsidRPr="00DC23DB">
        <w:rPr>
          <w:rFonts w:asciiTheme="minorEastAsia" w:eastAsiaTheme="minorEastAsia" w:hAnsiTheme="minorEastAsia" w:hint="eastAsia"/>
          <w:color w:val="auto"/>
        </w:rPr>
        <w:t>监事会意见</w:t>
      </w:r>
    </w:p>
    <w:p w:rsidR="006701E3" w:rsidRDefault="00DC23DB">
      <w:pPr>
        <w:pStyle w:val="Default"/>
        <w:snapToGrid w:val="0"/>
        <w:spacing w:line="360" w:lineRule="auto"/>
        <w:ind w:firstLineChars="200" w:firstLine="480"/>
      </w:pPr>
      <w:r>
        <w:rPr>
          <w:rFonts w:asciiTheme="minorEastAsia" w:eastAsiaTheme="minorEastAsia" w:hAnsiTheme="minorEastAsia" w:hint="eastAsia"/>
          <w:color w:val="auto"/>
        </w:rPr>
        <w:t>公司于2024年3月16日召开</w:t>
      </w:r>
      <w:r w:rsidR="0048614B">
        <w:rPr>
          <w:rFonts w:asciiTheme="minorEastAsia" w:eastAsiaTheme="minorEastAsia" w:hAnsiTheme="minorEastAsia" w:hint="eastAsia"/>
          <w:color w:val="auto"/>
        </w:rPr>
        <w:t>第十届监事会第二次会议</w:t>
      </w:r>
      <w:r>
        <w:rPr>
          <w:rFonts w:asciiTheme="minorEastAsia" w:eastAsiaTheme="minorEastAsia" w:hAnsiTheme="minorEastAsia" w:hint="eastAsia"/>
          <w:color w:val="auto"/>
        </w:rPr>
        <w:t>，</w:t>
      </w:r>
      <w:r w:rsidR="0048614B">
        <w:rPr>
          <w:rFonts w:asciiTheme="minorEastAsia" w:eastAsiaTheme="minorEastAsia" w:hAnsiTheme="minorEastAsia" w:hint="eastAsia"/>
          <w:color w:val="auto"/>
        </w:rPr>
        <w:t>审议通过了《公司</w:t>
      </w:r>
      <w:r w:rsidR="0048614B">
        <w:rPr>
          <w:rFonts w:asciiTheme="minorEastAsia" w:eastAsiaTheme="minorEastAsia" w:hAnsiTheme="minorEastAsia" w:cs="Times New Roman"/>
          <w:color w:val="auto"/>
        </w:rPr>
        <w:t>20</w:t>
      </w:r>
      <w:r w:rsidR="0048614B">
        <w:rPr>
          <w:rFonts w:asciiTheme="minorEastAsia" w:eastAsiaTheme="minorEastAsia" w:hAnsiTheme="minorEastAsia" w:cs="Times New Roman" w:hint="eastAsia"/>
          <w:color w:val="auto"/>
        </w:rPr>
        <w:t>23</w:t>
      </w:r>
      <w:r w:rsidR="0048614B">
        <w:rPr>
          <w:rFonts w:asciiTheme="minorEastAsia" w:eastAsiaTheme="minorEastAsia" w:hAnsiTheme="minorEastAsia" w:hint="eastAsia"/>
          <w:color w:val="auto"/>
        </w:rPr>
        <w:t>年利润分配预案》。监事会认为：</w:t>
      </w:r>
      <w:r w:rsidR="0048614B">
        <w:rPr>
          <w:rFonts w:hint="eastAsia"/>
        </w:rPr>
        <w:t>公司董事会提出的2023年度利润分配预案符合公司实际情况，不违背《公司章程》规定的现金分红政策,同意将该预案提交公司董事会及股东大会审议。</w:t>
      </w:r>
    </w:p>
    <w:p w:rsidR="006701E3" w:rsidRDefault="006701E3">
      <w:pPr>
        <w:pStyle w:val="Default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auto"/>
        </w:rPr>
      </w:pPr>
    </w:p>
    <w:p w:rsidR="006701E3" w:rsidRDefault="00AF0C94">
      <w:pPr>
        <w:pStyle w:val="Default"/>
        <w:snapToGrid w:val="0"/>
        <w:spacing w:line="360" w:lineRule="auto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</w:t>
      </w:r>
      <w:r w:rsidR="0048614B">
        <w:rPr>
          <w:rFonts w:ascii="黑体" w:eastAsia="黑体" w:hAnsi="黑体" w:hint="eastAsia"/>
        </w:rPr>
        <w:t>、相关风险提示</w:t>
      </w:r>
      <w:r w:rsidR="0048614B">
        <w:rPr>
          <w:rFonts w:ascii="黑体" w:eastAsia="黑体" w:hAnsi="黑体"/>
        </w:rPr>
        <w:t xml:space="preserve"> </w:t>
      </w:r>
    </w:p>
    <w:p w:rsidR="006701E3" w:rsidRDefault="0048614B">
      <w:pPr>
        <w:pStyle w:val="Default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本次利润分配预案尚需提交公司</w:t>
      </w:r>
      <w:r>
        <w:rPr>
          <w:rFonts w:asciiTheme="minorEastAsia" w:eastAsiaTheme="minorEastAsia" w:hAnsiTheme="minorEastAsia" w:cs="Times New Roman"/>
          <w:color w:val="auto"/>
        </w:rPr>
        <w:t>20</w:t>
      </w:r>
      <w:r>
        <w:rPr>
          <w:rFonts w:asciiTheme="minorEastAsia" w:eastAsiaTheme="minorEastAsia" w:hAnsiTheme="minorEastAsia" w:cs="Times New Roman" w:hint="eastAsia"/>
          <w:color w:val="auto"/>
        </w:rPr>
        <w:t>23</w:t>
      </w:r>
      <w:r>
        <w:rPr>
          <w:rFonts w:asciiTheme="minorEastAsia" w:eastAsiaTheme="minorEastAsia" w:hAnsiTheme="minorEastAsia" w:hint="eastAsia"/>
          <w:color w:val="auto"/>
        </w:rPr>
        <w:t>年年度股东大会审议，敬请广大投资者理性投资，注意投资风险。</w:t>
      </w:r>
    </w:p>
    <w:p w:rsidR="006701E3" w:rsidRDefault="0048614B">
      <w:pPr>
        <w:pStyle w:val="Default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/>
          <w:color w:val="auto"/>
        </w:rPr>
        <w:t>特此公告。</w:t>
      </w:r>
    </w:p>
    <w:p w:rsidR="006701E3" w:rsidRDefault="006701E3">
      <w:pPr>
        <w:pStyle w:val="Default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auto"/>
        </w:rPr>
      </w:pPr>
    </w:p>
    <w:p w:rsidR="006701E3" w:rsidRDefault="006701E3">
      <w:pPr>
        <w:pStyle w:val="Default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auto"/>
        </w:rPr>
      </w:pPr>
    </w:p>
    <w:p w:rsidR="006701E3" w:rsidRDefault="0048614B">
      <w:pPr>
        <w:pStyle w:val="Default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                             安徽铜峰</w:t>
      </w:r>
      <w:r>
        <w:rPr>
          <w:rFonts w:asciiTheme="minorEastAsia" w:eastAsiaTheme="minorEastAsia" w:hAnsiTheme="minorEastAsia"/>
          <w:color w:val="auto"/>
        </w:rPr>
        <w:t xml:space="preserve">电子股份有限公司董事会 </w:t>
      </w:r>
    </w:p>
    <w:p w:rsidR="006701E3" w:rsidRDefault="0048614B">
      <w:pPr>
        <w:pStyle w:val="Default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                                    </w:t>
      </w:r>
      <w:r>
        <w:rPr>
          <w:rFonts w:asciiTheme="minorEastAsia" w:eastAsiaTheme="minorEastAsia" w:hAnsiTheme="minorEastAsia"/>
          <w:color w:val="auto"/>
        </w:rPr>
        <w:t>202</w:t>
      </w:r>
      <w:r>
        <w:rPr>
          <w:rFonts w:asciiTheme="minorEastAsia" w:eastAsiaTheme="minorEastAsia" w:hAnsiTheme="minorEastAsia" w:hint="eastAsia"/>
          <w:color w:val="auto"/>
        </w:rPr>
        <w:t>4年3月19日</w:t>
      </w:r>
    </w:p>
    <w:sectPr w:rsidR="006701E3" w:rsidSect="00A55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03" w:rsidRDefault="00951203" w:rsidP="00AF0C94">
      <w:r>
        <w:separator/>
      </w:r>
    </w:p>
  </w:endnote>
  <w:endnote w:type="continuationSeparator" w:id="0">
    <w:p w:rsidR="00951203" w:rsidRDefault="00951203" w:rsidP="00AF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03" w:rsidRDefault="00951203" w:rsidP="00AF0C94">
      <w:r>
        <w:separator/>
      </w:r>
    </w:p>
  </w:footnote>
  <w:footnote w:type="continuationSeparator" w:id="0">
    <w:p w:rsidR="00951203" w:rsidRDefault="00951203" w:rsidP="00AF0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0OWMzZmE1MjVlYmVkMTI3NWVhMmExZmNhNWEwOWMifQ=="/>
  </w:docVars>
  <w:rsids>
    <w:rsidRoot w:val="00985285"/>
    <w:rsid w:val="000211D2"/>
    <w:rsid w:val="000C20C3"/>
    <w:rsid w:val="000D32D6"/>
    <w:rsid w:val="000E070D"/>
    <w:rsid w:val="00103069"/>
    <w:rsid w:val="00183916"/>
    <w:rsid w:val="00241537"/>
    <w:rsid w:val="00287D63"/>
    <w:rsid w:val="003C07DB"/>
    <w:rsid w:val="00422C51"/>
    <w:rsid w:val="00445FE8"/>
    <w:rsid w:val="0048614B"/>
    <w:rsid w:val="00520009"/>
    <w:rsid w:val="00520771"/>
    <w:rsid w:val="00563CBE"/>
    <w:rsid w:val="00577E5F"/>
    <w:rsid w:val="005C5326"/>
    <w:rsid w:val="0063254E"/>
    <w:rsid w:val="006638C0"/>
    <w:rsid w:val="006701E3"/>
    <w:rsid w:val="00672B1B"/>
    <w:rsid w:val="006D327E"/>
    <w:rsid w:val="006D3832"/>
    <w:rsid w:val="00712CA7"/>
    <w:rsid w:val="00721F9C"/>
    <w:rsid w:val="00740C74"/>
    <w:rsid w:val="0083005C"/>
    <w:rsid w:val="00847175"/>
    <w:rsid w:val="008A3EBD"/>
    <w:rsid w:val="008B65D4"/>
    <w:rsid w:val="008E3C3B"/>
    <w:rsid w:val="008E63E2"/>
    <w:rsid w:val="00922F86"/>
    <w:rsid w:val="00951203"/>
    <w:rsid w:val="00985285"/>
    <w:rsid w:val="00A55A72"/>
    <w:rsid w:val="00AA16BB"/>
    <w:rsid w:val="00AD77B1"/>
    <w:rsid w:val="00AE6850"/>
    <w:rsid w:val="00AF0C94"/>
    <w:rsid w:val="00B217E5"/>
    <w:rsid w:val="00C03DF9"/>
    <w:rsid w:val="00C23FB7"/>
    <w:rsid w:val="00C365A7"/>
    <w:rsid w:val="00C43F1C"/>
    <w:rsid w:val="00C801E4"/>
    <w:rsid w:val="00C85018"/>
    <w:rsid w:val="00CA6F6F"/>
    <w:rsid w:val="00CB1C7E"/>
    <w:rsid w:val="00CE5ED3"/>
    <w:rsid w:val="00D02506"/>
    <w:rsid w:val="00D05314"/>
    <w:rsid w:val="00D0578F"/>
    <w:rsid w:val="00DC23DB"/>
    <w:rsid w:val="00E2240D"/>
    <w:rsid w:val="00E432E5"/>
    <w:rsid w:val="00E76BD9"/>
    <w:rsid w:val="00F4402E"/>
    <w:rsid w:val="00FE085E"/>
    <w:rsid w:val="2E3C7F7F"/>
    <w:rsid w:val="31A476BF"/>
    <w:rsid w:val="790B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DCAB7"/>
  <w15:docId w15:val="{55BFED79-41B2-4950-BBBF-95B54470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A7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5A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5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rsid w:val="00A55A7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sid w:val="00A55A7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5A72"/>
    <w:rPr>
      <w:sz w:val="18"/>
      <w:szCs w:val="18"/>
    </w:rPr>
  </w:style>
  <w:style w:type="paragraph" w:customStyle="1" w:styleId="Default">
    <w:name w:val="Default"/>
    <w:autoRedefine/>
    <w:qFormat/>
    <w:rsid w:val="00A55A7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李骏</cp:lastModifiedBy>
  <cp:revision>4</cp:revision>
  <dcterms:created xsi:type="dcterms:W3CDTF">2024-03-18T09:11:00Z</dcterms:created>
  <dcterms:modified xsi:type="dcterms:W3CDTF">2024-03-18T09:16:00Z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1E6AE93255634AF98F8EA37D84B0F7C1</vt:lpwstr>
  </property>
</Properties>
</file>