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DC89B" w14:textId="77777777" w:rsidR="00F80306" w:rsidRPr="00F80547" w:rsidRDefault="00411755">
      <w:pPr>
        <w:adjustRightInd w:val="0"/>
        <w:snapToGrid w:val="0"/>
        <w:spacing w:line="360" w:lineRule="auto"/>
        <w:rPr>
          <w:rFonts w:ascii="黑体" w:eastAsia="黑体" w:hAnsi="Times New Roman" w:cs="Times New Roman"/>
          <w:sz w:val="28"/>
          <w:szCs w:val="24"/>
        </w:rPr>
      </w:pPr>
      <w:r>
        <w:rPr>
          <w:rFonts w:ascii="黑体" w:eastAsia="黑体" w:hAnsi="Times New Roman" w:cs="Times New Roman" w:hint="eastAsia"/>
          <w:color w:val="000000"/>
          <w:sz w:val="28"/>
          <w:szCs w:val="24"/>
        </w:rPr>
        <w:t xml:space="preserve">证券代码：600237    证券简称：铜峰电子  </w:t>
      </w:r>
      <w:r w:rsidRPr="00F80547">
        <w:rPr>
          <w:rFonts w:ascii="黑体" w:eastAsia="黑体" w:hAnsi="Times New Roman" w:cs="Times New Roman" w:hint="eastAsia"/>
          <w:sz w:val="28"/>
          <w:szCs w:val="24"/>
        </w:rPr>
        <w:t>公告编号：临2024-040</w:t>
      </w:r>
    </w:p>
    <w:p w14:paraId="61EC75A8" w14:textId="77777777" w:rsidR="00F80306" w:rsidRDefault="00F80306">
      <w:pPr>
        <w:adjustRightInd w:val="0"/>
        <w:snapToGrid w:val="0"/>
        <w:spacing w:line="360" w:lineRule="auto"/>
        <w:rPr>
          <w:rFonts w:ascii="黑体" w:eastAsia="黑体" w:hAnsi="Times New Roman" w:cs="Times New Roman"/>
          <w:color w:val="000000"/>
          <w:sz w:val="28"/>
          <w:szCs w:val="24"/>
        </w:rPr>
      </w:pPr>
    </w:p>
    <w:p w14:paraId="59B3AF3D" w14:textId="77777777" w:rsidR="00F80306" w:rsidRDefault="00411755">
      <w:pPr>
        <w:snapToGrid w:val="0"/>
        <w:spacing w:line="360" w:lineRule="auto"/>
        <w:ind w:right="-178"/>
        <w:jc w:val="center"/>
        <w:rPr>
          <w:rFonts w:ascii="黑体" w:eastAsia="黑体" w:hAnsi="Times New Roman" w:cs="Times New Roman"/>
          <w:color w:val="FF0000"/>
          <w:sz w:val="36"/>
          <w:szCs w:val="36"/>
        </w:rPr>
      </w:pPr>
      <w:r>
        <w:rPr>
          <w:rFonts w:ascii="黑体" w:eastAsia="黑体" w:hAnsi="Times New Roman" w:cs="Times New Roman" w:hint="eastAsia"/>
          <w:color w:val="FF0000"/>
          <w:sz w:val="36"/>
          <w:szCs w:val="36"/>
        </w:rPr>
        <w:t>安徽铜峰电子股份有限公司</w:t>
      </w:r>
    </w:p>
    <w:p w14:paraId="65406ADE" w14:textId="77777777" w:rsidR="00F80306" w:rsidRDefault="00411755">
      <w:pPr>
        <w:snapToGrid w:val="0"/>
        <w:spacing w:line="360" w:lineRule="auto"/>
        <w:ind w:right="-178"/>
        <w:jc w:val="center"/>
        <w:rPr>
          <w:rFonts w:ascii="黑体" w:eastAsia="黑体" w:hAnsi="Times New Roman" w:cs="Times New Roman"/>
          <w:color w:val="FF0000"/>
          <w:sz w:val="36"/>
          <w:szCs w:val="36"/>
        </w:rPr>
      </w:pPr>
      <w:r>
        <w:rPr>
          <w:rFonts w:ascii="黑体" w:eastAsia="黑体" w:hAnsi="Times New Roman" w:cs="Times New Roman" w:hint="eastAsia"/>
          <w:color w:val="FF0000"/>
          <w:sz w:val="36"/>
          <w:szCs w:val="36"/>
        </w:rPr>
        <w:t>关于续聘会计师事务所公告</w:t>
      </w:r>
    </w:p>
    <w:p w14:paraId="34A9C5F0" w14:textId="77777777" w:rsidR="00F80306" w:rsidRDefault="00F80306">
      <w:pPr>
        <w:snapToGrid w:val="0"/>
        <w:spacing w:line="360" w:lineRule="auto"/>
        <w:ind w:right="-178"/>
        <w:jc w:val="center"/>
        <w:rPr>
          <w:rFonts w:ascii="黑体" w:eastAsia="黑体" w:hAnsi="Times New Roman" w:cs="Times New Roman"/>
          <w:color w:val="000000"/>
          <w:sz w:val="36"/>
          <w:szCs w:val="36"/>
        </w:rPr>
      </w:pPr>
    </w:p>
    <w:p w14:paraId="08B5996D" w14:textId="77777777" w:rsidR="00F80306" w:rsidRDefault="00411755">
      <w:pPr>
        <w:adjustRightInd w:val="0"/>
        <w:snapToGrid w:val="0"/>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本公司董事会及全体董事保证本公告内容不存在任何虚假记载、误导性陈述或者重大遗漏，并对其内容的真实性、准确性和完整性承担法律责任。</w:t>
      </w:r>
    </w:p>
    <w:p w14:paraId="037B0552" w14:textId="77777777" w:rsidR="00F80306" w:rsidRDefault="00F80306">
      <w:pPr>
        <w:tabs>
          <w:tab w:val="left" w:pos="420"/>
        </w:tabs>
        <w:adjustRightInd w:val="0"/>
        <w:snapToGrid w:val="0"/>
        <w:spacing w:line="360" w:lineRule="auto"/>
        <w:ind w:left="480"/>
        <w:rPr>
          <w:rFonts w:ascii="宋体" w:eastAsia="宋体" w:hAnsi="宋体" w:cs="Times New Roman"/>
          <w:color w:val="000000"/>
          <w:sz w:val="24"/>
          <w:szCs w:val="24"/>
        </w:rPr>
      </w:pPr>
    </w:p>
    <w:p w14:paraId="299D9EB5" w14:textId="77777777" w:rsidR="00F80306" w:rsidRDefault="00411755">
      <w:pPr>
        <w:adjustRightInd w:val="0"/>
        <w:snapToGrid w:val="0"/>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重要内容提示：</w:t>
      </w:r>
    </w:p>
    <w:p w14:paraId="6C61C0E4" w14:textId="77777777" w:rsidR="00F80306" w:rsidRDefault="00411755">
      <w:pPr>
        <w:numPr>
          <w:ilvl w:val="0"/>
          <w:numId w:val="1"/>
        </w:numPr>
        <w:adjustRightInd w:val="0"/>
        <w:snapToGrid w:val="0"/>
        <w:spacing w:line="360" w:lineRule="auto"/>
        <w:ind w:left="480" w:firstLineChars="200" w:firstLine="482"/>
        <w:rPr>
          <w:rFonts w:ascii="宋体" w:eastAsia="宋体" w:hAnsi="宋体" w:cs="Times New Roman"/>
          <w:color w:val="000000"/>
          <w:sz w:val="24"/>
          <w:szCs w:val="24"/>
        </w:rPr>
      </w:pPr>
      <w:r>
        <w:rPr>
          <w:rFonts w:ascii="宋体" w:eastAsia="宋体" w:hAnsi="宋体" w:cs="Times New Roman" w:hint="eastAsia"/>
          <w:b/>
          <w:color w:val="000000"/>
          <w:sz w:val="24"/>
          <w:szCs w:val="24"/>
        </w:rPr>
        <w:t>拟聘任的</w:t>
      </w:r>
      <w:r>
        <w:rPr>
          <w:rFonts w:ascii="宋体" w:eastAsia="宋体" w:hAnsi="宋体" w:cs="Times New Roman"/>
          <w:b/>
          <w:color w:val="000000"/>
          <w:sz w:val="24"/>
          <w:szCs w:val="24"/>
        </w:rPr>
        <w:t>会计师事务所名称：</w:t>
      </w:r>
      <w:r>
        <w:rPr>
          <w:rFonts w:ascii="宋体" w:eastAsia="宋体" w:hAnsi="宋体" w:cs="Times New Roman" w:hint="eastAsia"/>
          <w:b/>
          <w:color w:val="000000"/>
          <w:sz w:val="24"/>
          <w:szCs w:val="24"/>
        </w:rPr>
        <w:t>容诚会计师事务所（特殊普通合伙）</w:t>
      </w:r>
    </w:p>
    <w:p w14:paraId="2B707888" w14:textId="77777777" w:rsidR="00F80306" w:rsidRDefault="00F80306">
      <w:pPr>
        <w:tabs>
          <w:tab w:val="left" w:pos="420"/>
        </w:tabs>
        <w:adjustRightInd w:val="0"/>
        <w:snapToGrid w:val="0"/>
        <w:spacing w:line="360" w:lineRule="auto"/>
        <w:ind w:left="960"/>
        <w:rPr>
          <w:rFonts w:ascii="宋体" w:eastAsia="宋体" w:hAnsi="宋体" w:cs="Times New Roman"/>
          <w:color w:val="000000"/>
          <w:sz w:val="24"/>
          <w:szCs w:val="24"/>
        </w:rPr>
      </w:pPr>
    </w:p>
    <w:p w14:paraId="56ACE65A" w14:textId="77777777" w:rsidR="00F80306" w:rsidRDefault="00411755">
      <w:pPr>
        <w:adjustRightInd w:val="0"/>
        <w:snapToGrid w:val="0"/>
        <w:spacing w:line="360" w:lineRule="auto"/>
        <w:ind w:firstLineChars="200" w:firstLine="480"/>
        <w:rPr>
          <w:rFonts w:ascii="黑体" w:eastAsia="黑体" w:hAnsi="黑体" w:cs="Times New Roman"/>
          <w:color w:val="000000"/>
          <w:sz w:val="24"/>
          <w:szCs w:val="24"/>
        </w:rPr>
      </w:pPr>
      <w:r>
        <w:rPr>
          <w:rFonts w:ascii="黑体" w:eastAsia="黑体" w:hAnsi="黑体" w:cs="Times New Roman" w:hint="eastAsia"/>
          <w:color w:val="000000"/>
          <w:sz w:val="24"/>
          <w:szCs w:val="24"/>
        </w:rPr>
        <w:t>一、拟聘任会计师事务所的基本情况</w:t>
      </w:r>
    </w:p>
    <w:p w14:paraId="3A60ED83"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（一）机构信息 </w:t>
      </w:r>
    </w:p>
    <w:p w14:paraId="62B7D71E"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1、基本信息 </w:t>
      </w:r>
    </w:p>
    <w:p w14:paraId="4D33A7FE"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容诚会计师事务所（特殊普通合伙）由原华普天健会计师事务所（特殊普通合伙）更名而来，初始成立于1988年8月，2013年12月10日改制为特殊普通合伙企业，是国内最早获准从事证券服务业务的会计师事务所之一，长期从事证券服务业务。注册地址为北京市西城区阜成门外大街22号1幢外经贸大厦901-22至901-26，首席合伙人肖厚发</w:t>
      </w:r>
      <w:r>
        <w:rPr>
          <w:rFonts w:ascii="宋体" w:eastAsia="宋体" w:hAnsi="宋体" w:cs="Times New Roman"/>
          <w:sz w:val="24"/>
          <w:szCs w:val="24"/>
        </w:rPr>
        <w:t xml:space="preserve">。 </w:t>
      </w:r>
    </w:p>
    <w:p w14:paraId="31DA01BD"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2、人员信息</w:t>
      </w:r>
    </w:p>
    <w:p w14:paraId="12AED4C5"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截至2023年12月31日，容诚会计师事务所共有合伙人179人，共有注册会计师1395人，其中745人签署过证券服务业务审计报告</w:t>
      </w:r>
      <w:r>
        <w:rPr>
          <w:rFonts w:ascii="宋体" w:eastAsia="宋体" w:hAnsi="宋体" w:cs="Times New Roman"/>
          <w:sz w:val="24"/>
          <w:szCs w:val="24"/>
        </w:rPr>
        <w:t xml:space="preserve">。 </w:t>
      </w:r>
    </w:p>
    <w:p w14:paraId="6FA4CD6C"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3、业务规模 </w:t>
      </w:r>
    </w:p>
    <w:p w14:paraId="642F5893"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容诚会计师事务所经审计的2023年度收入总额为287,224.60万元，其中审计业务收入274,873.42万元，证券期货业务收入149,856.80万元。</w:t>
      </w:r>
    </w:p>
    <w:p w14:paraId="763B609A"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容诚会计师事务所共承担394家上市公司2023年年报审计业务，审计收费总额48,840.19万元</w:t>
      </w:r>
      <w:r>
        <w:rPr>
          <w:rFonts w:ascii="宋体" w:eastAsia="宋体" w:hAnsi="宋体" w:cs="Times New Roman"/>
          <w:sz w:val="24"/>
          <w:szCs w:val="24"/>
        </w:rPr>
        <w:t>，</w:t>
      </w:r>
      <w:r>
        <w:rPr>
          <w:rFonts w:ascii="宋体" w:eastAsia="宋体" w:hAnsi="宋体" w:cs="Times New Roman" w:hint="eastAsia"/>
          <w:sz w:val="24"/>
          <w:szCs w:val="24"/>
        </w:rPr>
        <w:t>客户主要集中在制造业（包括但不限于计算机、通信和其他电子设备制造业、专用设备制造业、电气机械和器材制造业、化学原料和化学</w:t>
      </w:r>
      <w:r>
        <w:rPr>
          <w:rFonts w:ascii="宋体" w:eastAsia="宋体" w:hAnsi="宋体" w:cs="Times New Roman" w:hint="eastAsia"/>
          <w:sz w:val="24"/>
          <w:szCs w:val="24"/>
        </w:rPr>
        <w:lastRenderedPageBreak/>
        <w:t>制品制造业、汽车制造业、医药制造业、橡胶和塑料制品业、有色金属冶炼和压延加工业、建筑装饰和其他建筑业）及信息传输、软件和信息技术服务业，水利、环境和公共设施管理业，科学研究和技术服务业，批发和零售业等多个行业。容诚会计师事务所对安徽安徽铜峰电子股份有限公司所在的相同行业上市公司审计客户家数为282家</w:t>
      </w:r>
      <w:r>
        <w:rPr>
          <w:rFonts w:ascii="宋体" w:eastAsia="宋体" w:hAnsi="宋体" w:cs="Times New Roman"/>
          <w:sz w:val="24"/>
          <w:szCs w:val="24"/>
        </w:rPr>
        <w:t xml:space="preserve">。 </w:t>
      </w:r>
    </w:p>
    <w:p w14:paraId="4DC054F5"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4、投资者保护能力</w:t>
      </w:r>
    </w:p>
    <w:p w14:paraId="03E21892"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容诚会计师事务所已购买注册会计师职业责任保险，职业保险累计赔偿限额不低于2亿元，职业保险购买符合相关规定。</w:t>
      </w:r>
    </w:p>
    <w:p w14:paraId="1E497ECC"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近三年在执业中相关民事诉讼承担民事责任的情况：</w:t>
      </w:r>
    </w:p>
    <w:p w14:paraId="78D668ED"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2023年9月21日，北京金融法院就乐视网信息技术（北京）股份有限公司（以下简称乐视网）证券虚假陈述责任纠纷案 [(2021)京 74 民初 111 号]</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判决，判决华普天健会计师事务所（北京）有限公司和容诚会计师事务所（特殊普通合伙）共同就2011年3月17日（含）之后曾买入</w:t>
      </w:r>
      <w:proofErr w:type="gramStart"/>
      <w:r>
        <w:rPr>
          <w:rFonts w:ascii="宋体" w:eastAsia="宋体" w:hAnsi="宋体" w:cs="Times New Roman" w:hint="eastAsia"/>
          <w:sz w:val="24"/>
          <w:szCs w:val="24"/>
        </w:rPr>
        <w:t>过乐视网股票</w:t>
      </w:r>
      <w:proofErr w:type="gramEnd"/>
      <w:r>
        <w:rPr>
          <w:rFonts w:ascii="宋体" w:eastAsia="宋体" w:hAnsi="宋体" w:cs="Times New Roman" w:hint="eastAsia"/>
          <w:sz w:val="24"/>
          <w:szCs w:val="24"/>
        </w:rPr>
        <w:t>的原告投资者的损失，在1%范围内与被告乐视</w:t>
      </w:r>
      <w:proofErr w:type="gramStart"/>
      <w:r>
        <w:rPr>
          <w:rFonts w:ascii="宋体" w:eastAsia="宋体" w:hAnsi="宋体" w:cs="Times New Roman" w:hint="eastAsia"/>
          <w:sz w:val="24"/>
          <w:szCs w:val="24"/>
        </w:rPr>
        <w:t>网承担</w:t>
      </w:r>
      <w:proofErr w:type="gramEnd"/>
      <w:r>
        <w:rPr>
          <w:rFonts w:ascii="宋体" w:eastAsia="宋体" w:hAnsi="宋体" w:cs="Times New Roman" w:hint="eastAsia"/>
          <w:sz w:val="24"/>
          <w:szCs w:val="24"/>
        </w:rPr>
        <w:t>连带赔偿责任。华普天健所及容诚所收到判决后已提起上诉，截至目前，本案尚在二审诉讼程序中。</w:t>
      </w:r>
      <w:r>
        <w:rPr>
          <w:rFonts w:ascii="宋体" w:eastAsia="宋体" w:hAnsi="宋体" w:cs="Times New Roman"/>
          <w:sz w:val="24"/>
          <w:szCs w:val="24"/>
        </w:rPr>
        <w:t xml:space="preserve"> </w:t>
      </w:r>
    </w:p>
    <w:p w14:paraId="2EA654A1"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5、诚信记录</w:t>
      </w:r>
    </w:p>
    <w:p w14:paraId="177BFDB5"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容诚会计师事务所近三年（最近三个完整自然年度及当年）因执业行为受到刑事处罚 0 次、行政处罚0次、监督管理措施 13次、自律监管措施5次、自律处分 1 次。</w:t>
      </w:r>
    </w:p>
    <w:p w14:paraId="5C48EB60"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从业人员近三年（最近三个完整自然年度及当年）因执业行为受到刑事处罚 0 次，3名从业人员受到行政处罚各1次，58名从业人员受到监督管理措施 19次、自律监管措施5次和自律处分2次。</w:t>
      </w:r>
    </w:p>
    <w:p w14:paraId="18B44C57" w14:textId="55482083" w:rsidR="00F80306" w:rsidRDefault="00F80547">
      <w:pPr>
        <w:adjustRightInd w:val="0"/>
        <w:snapToGrid w:val="0"/>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（二）项目</w:t>
      </w:r>
      <w:r w:rsidR="00411755">
        <w:rPr>
          <w:rFonts w:ascii="宋体" w:eastAsia="宋体" w:hAnsi="宋体" w:cs="Times New Roman" w:hint="eastAsia"/>
          <w:b/>
          <w:sz w:val="24"/>
          <w:szCs w:val="24"/>
        </w:rPr>
        <w:t>信息</w:t>
      </w:r>
    </w:p>
    <w:p w14:paraId="2704AE7F" w14:textId="3420B733"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F80547">
        <w:rPr>
          <w:rFonts w:ascii="宋体" w:eastAsia="宋体" w:hAnsi="宋体" w:cs="Times New Roman" w:hint="eastAsia"/>
          <w:sz w:val="24"/>
          <w:szCs w:val="24"/>
        </w:rPr>
        <w:t>基本</w:t>
      </w:r>
      <w:r>
        <w:rPr>
          <w:rFonts w:ascii="宋体" w:eastAsia="宋体" w:hAnsi="宋体" w:cs="Times New Roman" w:hint="eastAsia"/>
          <w:sz w:val="24"/>
          <w:szCs w:val="24"/>
        </w:rPr>
        <w:t>信息</w:t>
      </w:r>
    </w:p>
    <w:p w14:paraId="1861824A"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项目合伙人：熊明峰，2004年成为中国注册会计师，2006年开始从事上市公司审计业务，2006年开始在容诚会计师事务所执业；近三年签署过铜峰电子（600237.SH）、同庆楼（605108）、华塑股份（600935.SH）等多家上市公司审计报告。</w:t>
      </w:r>
    </w:p>
    <w:p w14:paraId="09E08E87"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项目签字注册会计师：王鸣灿，2017年成为中国注册会计师，2015 年开始从事上市公司审计业务，2015年开始在容诚会计师事务所执业；近三年签署过</w:t>
      </w:r>
      <w:r>
        <w:rPr>
          <w:rFonts w:ascii="宋体" w:eastAsia="宋体" w:hAnsi="宋体" w:cs="Times New Roman" w:hint="eastAsia"/>
          <w:sz w:val="24"/>
          <w:szCs w:val="24"/>
        </w:rPr>
        <w:lastRenderedPageBreak/>
        <w:t>铜峰电子（600237）、全柴动力（600218）、同庆楼（605108）、中环环保（300692）等上市公司审计报告。</w:t>
      </w:r>
    </w:p>
    <w:p w14:paraId="5FE8DFCA"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项目签字注册会计师：方蕊，2024年成为中国注册会计师，2020年开始从事上市公司审计业务，2020年开始在容诚会计师事务所执业，近三年签署过铜峰电子（600237）、小六饮食（870618）上市公司和挂牌公司审计报告。</w:t>
      </w:r>
    </w:p>
    <w:p w14:paraId="0584A360"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项目质量复核人：周文亮，2014 成为中国注册会计师，2008 年开始从事上市公司审计业务，2008 年开始在容诚会计师事务所执业；近三年签署过斯</w:t>
      </w:r>
      <w:proofErr w:type="gramStart"/>
      <w:r>
        <w:rPr>
          <w:rFonts w:ascii="宋体" w:eastAsia="宋体" w:hAnsi="宋体" w:cs="Times New Roman" w:hint="eastAsia"/>
          <w:sz w:val="24"/>
          <w:szCs w:val="24"/>
        </w:rPr>
        <w:t>迪</w:t>
      </w:r>
      <w:proofErr w:type="gramEnd"/>
      <w:r>
        <w:rPr>
          <w:rFonts w:ascii="宋体" w:eastAsia="宋体" w:hAnsi="宋体" w:cs="Times New Roman" w:hint="eastAsia"/>
          <w:sz w:val="24"/>
          <w:szCs w:val="24"/>
        </w:rPr>
        <w:t>克（300806）、英力股份（300956）、五洲医疗（301234）等上市公司审计报告。</w:t>
      </w:r>
    </w:p>
    <w:p w14:paraId="1504B5C5" w14:textId="255BBF69" w:rsidR="00F80306" w:rsidRPr="00E71AEF"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Pr="00E71AEF">
        <w:rPr>
          <w:rFonts w:ascii="宋体" w:eastAsia="宋体" w:hAnsi="宋体" w:cs="Times New Roman" w:hint="eastAsia"/>
          <w:sz w:val="24"/>
          <w:szCs w:val="24"/>
        </w:rPr>
        <w:t>诚信记录</w:t>
      </w:r>
    </w:p>
    <w:p w14:paraId="1CB8C7AF"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签字注册会计师王鸣灿、方蕊和项目质量控制复核人周文</w:t>
      </w:r>
      <w:proofErr w:type="gramStart"/>
      <w:r>
        <w:rPr>
          <w:rFonts w:ascii="宋体" w:eastAsia="宋体" w:hAnsi="宋体" w:cs="Times New Roman" w:hint="eastAsia"/>
          <w:sz w:val="24"/>
          <w:szCs w:val="24"/>
        </w:rPr>
        <w:t>亮近三年内未曾因</w:t>
      </w:r>
      <w:proofErr w:type="gramEnd"/>
      <w:r>
        <w:rPr>
          <w:rFonts w:ascii="宋体" w:eastAsia="宋体" w:hAnsi="宋体" w:cs="Times New Roman" w:hint="eastAsia"/>
          <w:sz w:val="24"/>
          <w:szCs w:val="24"/>
        </w:rPr>
        <w:t>执业行为受到刑事处罚、行政处罚、监督管理措施和自律监管措施、纪律处分。</w:t>
      </w:r>
    </w:p>
    <w:p w14:paraId="11E6ADC1" w14:textId="77777777" w:rsidR="00F80306" w:rsidRDefault="00411755">
      <w:pPr>
        <w:adjustRightInd w:val="0"/>
        <w:snapToGrid w:val="0"/>
        <w:spacing w:line="360" w:lineRule="auto"/>
        <w:ind w:firstLineChars="200" w:firstLine="480"/>
        <w:rPr>
          <w:rFonts w:ascii="仿宋_GB2312" w:eastAsia="仿宋_GB2312" w:hAnsi="宋体" w:cs="Times New Roman"/>
          <w:sz w:val="24"/>
          <w:szCs w:val="24"/>
        </w:rPr>
      </w:pPr>
      <w:r>
        <w:rPr>
          <w:rFonts w:ascii="仿宋_GB2312" w:eastAsia="仿宋_GB2312" w:hAnsi="宋体" w:cs="仿宋_GB2312"/>
          <w:sz w:val="24"/>
          <w:szCs w:val="24"/>
          <w:lang w:bidi="ar"/>
        </w:rPr>
        <w:t>项目合伙人</w:t>
      </w:r>
      <w:r>
        <w:rPr>
          <w:rFonts w:ascii="仿宋_GB2312" w:eastAsia="仿宋_GB2312" w:hAnsi="宋体" w:cs="仿宋_GB2312" w:hint="eastAsia"/>
          <w:sz w:val="24"/>
          <w:szCs w:val="24"/>
          <w:lang w:bidi="ar"/>
        </w:rPr>
        <w:t>熊明峰</w:t>
      </w:r>
      <w:r>
        <w:rPr>
          <w:rFonts w:ascii="仿宋_GB2312" w:eastAsia="仿宋_GB2312" w:hAnsi="宋体" w:cs="仿宋_GB2312"/>
          <w:sz w:val="24"/>
          <w:szCs w:val="24"/>
          <w:lang w:bidi="ar"/>
        </w:rPr>
        <w:t>近三年因执业行为受到证监会及其派出机构出具的警示函监管措施1次。除此之外，未受到其他刑事、行政处罚、监督管理措施或自律监管措施、纪律处分。详见下表。</w:t>
      </w:r>
    </w:p>
    <w:tbl>
      <w:tblPr>
        <w:tblStyle w:val="a5"/>
        <w:tblW w:w="8789" w:type="dxa"/>
        <w:tblInd w:w="-34" w:type="dxa"/>
        <w:tblLook w:val="04A0" w:firstRow="1" w:lastRow="0" w:firstColumn="1" w:lastColumn="0" w:noHBand="0" w:noVBand="1"/>
      </w:tblPr>
      <w:tblGrid>
        <w:gridCol w:w="738"/>
        <w:gridCol w:w="1017"/>
        <w:gridCol w:w="1665"/>
        <w:gridCol w:w="1684"/>
        <w:gridCol w:w="1275"/>
        <w:gridCol w:w="2410"/>
      </w:tblGrid>
      <w:tr w:rsidR="00F80306" w14:paraId="68423112" w14:textId="77777777">
        <w:trPr>
          <w:trHeight w:val="397"/>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2928E91"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序号</w:t>
            </w:r>
          </w:p>
        </w:tc>
        <w:tc>
          <w:tcPr>
            <w:tcW w:w="1017" w:type="dxa"/>
            <w:tcBorders>
              <w:top w:val="single" w:sz="4" w:space="0" w:color="auto"/>
              <w:left w:val="nil"/>
              <w:bottom w:val="single" w:sz="4" w:space="0" w:color="auto"/>
              <w:right w:val="single" w:sz="4" w:space="0" w:color="auto"/>
            </w:tcBorders>
            <w:shd w:val="clear" w:color="auto" w:fill="auto"/>
            <w:vAlign w:val="center"/>
          </w:tcPr>
          <w:p w14:paraId="4F2CCACB"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姓名</w:t>
            </w:r>
          </w:p>
        </w:tc>
        <w:tc>
          <w:tcPr>
            <w:tcW w:w="1665" w:type="dxa"/>
            <w:tcBorders>
              <w:top w:val="single" w:sz="4" w:space="0" w:color="auto"/>
              <w:left w:val="nil"/>
              <w:bottom w:val="single" w:sz="4" w:space="0" w:color="auto"/>
              <w:right w:val="single" w:sz="4" w:space="0" w:color="auto"/>
            </w:tcBorders>
            <w:shd w:val="clear" w:color="auto" w:fill="auto"/>
            <w:vAlign w:val="center"/>
          </w:tcPr>
          <w:p w14:paraId="1F6129C3"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处理处罚日期</w:t>
            </w:r>
          </w:p>
        </w:tc>
        <w:tc>
          <w:tcPr>
            <w:tcW w:w="1684" w:type="dxa"/>
            <w:tcBorders>
              <w:top w:val="single" w:sz="4" w:space="0" w:color="auto"/>
              <w:left w:val="nil"/>
              <w:bottom w:val="single" w:sz="4" w:space="0" w:color="auto"/>
              <w:right w:val="single" w:sz="4" w:space="0" w:color="auto"/>
            </w:tcBorders>
            <w:shd w:val="clear" w:color="auto" w:fill="auto"/>
            <w:vAlign w:val="center"/>
          </w:tcPr>
          <w:p w14:paraId="6130AC86"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处理处罚类型</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E6969D"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实施单位</w:t>
            </w:r>
          </w:p>
        </w:tc>
        <w:tc>
          <w:tcPr>
            <w:tcW w:w="2410" w:type="dxa"/>
            <w:tcBorders>
              <w:top w:val="single" w:sz="4" w:space="0" w:color="auto"/>
              <w:left w:val="nil"/>
              <w:bottom w:val="single" w:sz="4" w:space="0" w:color="auto"/>
              <w:right w:val="single" w:sz="4" w:space="0" w:color="auto"/>
            </w:tcBorders>
            <w:shd w:val="clear" w:color="auto" w:fill="auto"/>
            <w:vAlign w:val="center"/>
          </w:tcPr>
          <w:p w14:paraId="4C9909FE"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事由及处理处罚情况</w:t>
            </w:r>
          </w:p>
        </w:tc>
      </w:tr>
      <w:tr w:rsidR="00F80306" w14:paraId="32190DE7" w14:textId="77777777">
        <w:trPr>
          <w:trHeight w:val="397"/>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26CCC3D"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1</w:t>
            </w:r>
          </w:p>
        </w:tc>
        <w:tc>
          <w:tcPr>
            <w:tcW w:w="1017" w:type="dxa"/>
            <w:tcBorders>
              <w:top w:val="single" w:sz="4" w:space="0" w:color="auto"/>
              <w:left w:val="nil"/>
              <w:bottom w:val="single" w:sz="4" w:space="0" w:color="auto"/>
              <w:right w:val="single" w:sz="4" w:space="0" w:color="auto"/>
            </w:tcBorders>
            <w:shd w:val="clear" w:color="auto" w:fill="auto"/>
            <w:vAlign w:val="center"/>
          </w:tcPr>
          <w:p w14:paraId="77EB91D2"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hint="eastAsia"/>
                <w:sz w:val="24"/>
                <w:szCs w:val="24"/>
                <w:lang w:bidi="ar"/>
              </w:rPr>
              <w:t>熊明峰</w:t>
            </w:r>
          </w:p>
        </w:tc>
        <w:tc>
          <w:tcPr>
            <w:tcW w:w="1665" w:type="dxa"/>
            <w:tcBorders>
              <w:top w:val="single" w:sz="4" w:space="0" w:color="auto"/>
              <w:left w:val="nil"/>
              <w:bottom w:val="single" w:sz="4" w:space="0" w:color="auto"/>
              <w:right w:val="single" w:sz="4" w:space="0" w:color="auto"/>
            </w:tcBorders>
            <w:shd w:val="clear" w:color="auto" w:fill="auto"/>
            <w:vAlign w:val="center"/>
          </w:tcPr>
          <w:p w14:paraId="21CF20FD"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202</w:t>
            </w:r>
            <w:r>
              <w:rPr>
                <w:rFonts w:ascii="仿宋_GB2312" w:eastAsia="仿宋_GB2312" w:hAnsi="宋体" w:cs="仿宋_GB2312" w:hint="eastAsia"/>
                <w:sz w:val="24"/>
                <w:szCs w:val="24"/>
                <w:lang w:bidi="ar"/>
              </w:rPr>
              <w:t>4</w:t>
            </w:r>
            <w:r>
              <w:rPr>
                <w:rFonts w:ascii="仿宋_GB2312" w:eastAsia="仿宋_GB2312" w:hAnsi="宋体" w:cs="仿宋_GB2312"/>
                <w:sz w:val="24"/>
                <w:szCs w:val="24"/>
                <w:lang w:bidi="ar"/>
              </w:rPr>
              <w:t>年</w:t>
            </w:r>
            <w:r>
              <w:rPr>
                <w:rFonts w:ascii="仿宋_GB2312" w:eastAsia="仿宋_GB2312" w:hAnsi="宋体" w:cs="仿宋_GB2312" w:hint="eastAsia"/>
                <w:sz w:val="24"/>
                <w:szCs w:val="24"/>
                <w:lang w:bidi="ar"/>
              </w:rPr>
              <w:t>9</w:t>
            </w:r>
            <w:r>
              <w:rPr>
                <w:rFonts w:ascii="仿宋_GB2312" w:eastAsia="仿宋_GB2312" w:hAnsi="宋体" w:cs="仿宋_GB2312"/>
                <w:sz w:val="24"/>
                <w:szCs w:val="24"/>
                <w:lang w:bidi="ar"/>
              </w:rPr>
              <w:t>月1</w:t>
            </w:r>
            <w:r>
              <w:rPr>
                <w:rFonts w:ascii="仿宋_GB2312" w:eastAsia="仿宋_GB2312" w:hAnsi="宋体" w:cs="仿宋_GB2312" w:hint="eastAsia"/>
                <w:sz w:val="24"/>
                <w:szCs w:val="24"/>
                <w:lang w:bidi="ar"/>
              </w:rPr>
              <w:t>2</w:t>
            </w:r>
            <w:r>
              <w:rPr>
                <w:rFonts w:ascii="仿宋_GB2312" w:eastAsia="仿宋_GB2312" w:hAnsi="宋体" w:cs="仿宋_GB2312"/>
                <w:sz w:val="24"/>
                <w:szCs w:val="24"/>
                <w:lang w:bidi="ar"/>
              </w:rPr>
              <w:t>日</w:t>
            </w:r>
          </w:p>
        </w:tc>
        <w:tc>
          <w:tcPr>
            <w:tcW w:w="1684" w:type="dxa"/>
            <w:tcBorders>
              <w:top w:val="single" w:sz="4" w:space="0" w:color="auto"/>
              <w:left w:val="nil"/>
              <w:bottom w:val="single" w:sz="4" w:space="0" w:color="auto"/>
              <w:right w:val="single" w:sz="4" w:space="0" w:color="auto"/>
            </w:tcBorders>
            <w:shd w:val="clear" w:color="auto" w:fill="auto"/>
            <w:vAlign w:val="center"/>
          </w:tcPr>
          <w:p w14:paraId="4137D9BC"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sz w:val="24"/>
                <w:szCs w:val="24"/>
                <w:lang w:bidi="ar"/>
              </w:rPr>
              <w:t>警示函</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7D488C"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hint="eastAsia"/>
                <w:sz w:val="24"/>
                <w:szCs w:val="24"/>
                <w:lang w:bidi="ar"/>
              </w:rPr>
              <w:t>宁波证监局</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2D4F24" w14:textId="77777777" w:rsidR="00F80306" w:rsidRDefault="00411755">
            <w:pPr>
              <w:adjustRightInd w:val="0"/>
              <w:snapToGrid w:val="0"/>
              <w:jc w:val="center"/>
              <w:rPr>
                <w:rFonts w:ascii="仿宋_GB2312" w:eastAsia="仿宋_GB2312" w:hAnsi="宋体" w:cs="Times New Roman"/>
                <w:sz w:val="24"/>
                <w:szCs w:val="24"/>
              </w:rPr>
            </w:pPr>
            <w:r>
              <w:rPr>
                <w:rFonts w:ascii="仿宋_GB2312" w:eastAsia="仿宋_GB2312" w:hAnsi="宋体" w:cs="仿宋_GB2312" w:hint="eastAsia"/>
                <w:sz w:val="24"/>
                <w:szCs w:val="24"/>
                <w:lang w:bidi="ar"/>
              </w:rPr>
              <w:t>关联方</w:t>
            </w:r>
            <w:r>
              <w:rPr>
                <w:rFonts w:ascii="仿宋_GB2312" w:eastAsia="仿宋_GB2312" w:hAnsi="宋体" w:cs="仿宋_GB2312"/>
                <w:sz w:val="24"/>
                <w:szCs w:val="24"/>
                <w:lang w:bidi="ar"/>
              </w:rPr>
              <w:t>审计程</w:t>
            </w:r>
            <w:r>
              <w:rPr>
                <w:rFonts w:ascii="仿宋_GB2312" w:eastAsia="仿宋_GB2312" w:hAnsi="宋体" w:cs="仿宋_GB2312" w:hint="eastAsia"/>
                <w:sz w:val="24"/>
                <w:szCs w:val="24"/>
                <w:lang w:bidi="ar"/>
              </w:rPr>
              <w:t>序</w:t>
            </w:r>
            <w:r>
              <w:rPr>
                <w:rFonts w:ascii="仿宋_GB2312" w:eastAsia="仿宋_GB2312" w:hAnsi="宋体" w:cs="仿宋_GB2312"/>
                <w:sz w:val="24"/>
                <w:szCs w:val="24"/>
                <w:lang w:bidi="ar"/>
              </w:rPr>
              <w:t>执行不到位等事项</w:t>
            </w:r>
          </w:p>
        </w:tc>
      </w:tr>
    </w:tbl>
    <w:p w14:paraId="3D332525" w14:textId="73BDD847" w:rsidR="00F80306" w:rsidRPr="00411755" w:rsidRDefault="00411755" w:rsidP="00411755">
      <w:pPr>
        <w:pStyle w:val="a6"/>
        <w:numPr>
          <w:ilvl w:val="0"/>
          <w:numId w:val="3"/>
        </w:numPr>
        <w:tabs>
          <w:tab w:val="left" w:pos="312"/>
        </w:tabs>
        <w:adjustRightInd w:val="0"/>
        <w:snapToGrid w:val="0"/>
        <w:spacing w:line="360" w:lineRule="auto"/>
        <w:ind w:firstLineChars="0"/>
        <w:rPr>
          <w:rFonts w:ascii="宋体" w:eastAsia="宋体" w:hAnsi="宋体" w:cs="Times New Roman"/>
          <w:sz w:val="24"/>
          <w:szCs w:val="24"/>
        </w:rPr>
      </w:pPr>
      <w:r w:rsidRPr="00411755">
        <w:rPr>
          <w:rFonts w:ascii="宋体" w:eastAsia="宋体" w:hAnsi="宋体" w:cs="Times New Roman" w:hint="eastAsia"/>
          <w:sz w:val="24"/>
          <w:szCs w:val="24"/>
        </w:rPr>
        <w:t>独立性</w:t>
      </w:r>
    </w:p>
    <w:p w14:paraId="3451A989" w14:textId="77777777" w:rsidR="00F80547" w:rsidRDefault="00411755" w:rsidP="00F80547">
      <w:pPr>
        <w:adjustRightInd w:val="0"/>
        <w:snapToGrid w:val="0"/>
        <w:spacing w:line="360" w:lineRule="auto"/>
        <w:ind w:firstLineChars="200" w:firstLine="480"/>
        <w:rPr>
          <w:rFonts w:ascii="宋体" w:eastAsia="宋体" w:hAnsi="宋体" w:cs="Times New Roman"/>
          <w:sz w:val="24"/>
          <w:szCs w:val="24"/>
        </w:rPr>
      </w:pPr>
      <w:r w:rsidRPr="00E71AEF">
        <w:rPr>
          <w:rFonts w:ascii="宋体" w:eastAsia="宋体" w:hAnsi="宋体" w:cs="Times New Roman" w:hint="eastAsia"/>
          <w:sz w:val="24"/>
          <w:szCs w:val="24"/>
        </w:rPr>
        <w:t>容诚会计师事务所及项目合伙人、项目签字注册会计师、项目质量复核人不存在可能影响独立性的情形。</w:t>
      </w:r>
    </w:p>
    <w:p w14:paraId="352FB663" w14:textId="2C3625B7" w:rsidR="00F80306" w:rsidRPr="00F80547" w:rsidRDefault="00F80547" w:rsidP="00F80547">
      <w:pPr>
        <w:adjustRightInd w:val="0"/>
        <w:snapToGrid w:val="0"/>
        <w:spacing w:line="360" w:lineRule="auto"/>
        <w:ind w:firstLineChars="200" w:firstLine="480"/>
        <w:rPr>
          <w:rFonts w:ascii="宋体" w:eastAsia="宋体" w:hAnsi="宋体" w:cs="Times New Roman"/>
          <w:sz w:val="24"/>
          <w:szCs w:val="24"/>
        </w:rPr>
      </w:pPr>
      <w:r w:rsidRPr="00F80547">
        <w:rPr>
          <w:rFonts w:ascii="宋体" w:eastAsia="宋体" w:hAnsi="宋体" w:cs="Times New Roman" w:hint="eastAsia"/>
          <w:sz w:val="24"/>
          <w:szCs w:val="24"/>
        </w:rPr>
        <w:t>4、</w:t>
      </w:r>
      <w:r w:rsidR="00411755" w:rsidRPr="00F80547">
        <w:rPr>
          <w:rFonts w:ascii="宋体" w:eastAsia="宋体" w:hAnsi="宋体" w:cs="Times New Roman" w:hint="eastAsia"/>
          <w:sz w:val="24"/>
          <w:szCs w:val="24"/>
        </w:rPr>
        <w:t>审计收费</w:t>
      </w:r>
    </w:p>
    <w:p w14:paraId="62CD4D92" w14:textId="77777777" w:rsidR="00F80306" w:rsidRDefault="00411755">
      <w:pPr>
        <w:adjustRightInd w:val="0"/>
        <w:snapToGri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2023度容诚会计师事务所（特殊普通合伙）对公司财务审计费用为120.00万元（包括非经营性资金占用及其他关联资金往来情况专项说明等），对公司的内控审计费用为30.00万元，合计150.00万元。 </w:t>
      </w:r>
    </w:p>
    <w:p w14:paraId="56D9CCFC" w14:textId="77777777" w:rsidR="00F80306" w:rsidRDefault="00411755">
      <w:pPr>
        <w:adjustRightInd w:val="0"/>
        <w:snapToGri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2024年公司的审计收费定价原则根据本公司的业务规模、所处行业和会计处理复杂程度等多方面因素，并根据本公司年报审计需配备的审计人员情况和投入的工作量以及事务所的收费标准确定最终的审计收费。</w:t>
      </w:r>
    </w:p>
    <w:p w14:paraId="771576D1" w14:textId="77777777" w:rsidR="00F80306" w:rsidRDefault="00F80306">
      <w:pPr>
        <w:adjustRightInd w:val="0"/>
        <w:snapToGrid w:val="0"/>
        <w:spacing w:line="360" w:lineRule="auto"/>
        <w:ind w:firstLineChars="200" w:firstLine="480"/>
        <w:rPr>
          <w:rFonts w:ascii="宋体" w:eastAsia="宋体" w:hAnsi="宋体" w:cs="Times New Roman"/>
          <w:color w:val="000000"/>
          <w:sz w:val="24"/>
          <w:szCs w:val="24"/>
        </w:rPr>
      </w:pPr>
    </w:p>
    <w:p w14:paraId="74A4F5BD" w14:textId="77777777" w:rsidR="00F80306" w:rsidRDefault="00411755">
      <w:pPr>
        <w:adjustRightInd w:val="0"/>
        <w:snapToGrid w:val="0"/>
        <w:spacing w:line="360" w:lineRule="auto"/>
        <w:ind w:firstLineChars="200" w:firstLine="480"/>
        <w:rPr>
          <w:rFonts w:ascii="黑体" w:eastAsia="黑体" w:hAnsi="黑体" w:cs="Times New Roman"/>
          <w:color w:val="000000"/>
          <w:sz w:val="24"/>
          <w:szCs w:val="24"/>
        </w:rPr>
      </w:pPr>
      <w:r>
        <w:rPr>
          <w:rFonts w:ascii="黑体" w:eastAsia="黑体" w:hAnsi="黑体" w:cs="Times New Roman" w:hint="eastAsia"/>
          <w:color w:val="000000"/>
          <w:sz w:val="24"/>
          <w:szCs w:val="24"/>
        </w:rPr>
        <w:t>二、拟续聘会计事务所履行的程序</w:t>
      </w:r>
    </w:p>
    <w:p w14:paraId="16A99FCA" w14:textId="77777777" w:rsidR="00F80306" w:rsidRDefault="00411755">
      <w:pPr>
        <w:adjustRightInd w:val="0"/>
        <w:snapToGrid w:val="0"/>
        <w:spacing w:line="360" w:lineRule="auto"/>
        <w:ind w:firstLineChars="200" w:firstLine="482"/>
        <w:rPr>
          <w:rFonts w:ascii="宋体" w:eastAsia="宋体" w:hAnsi="宋体" w:cs="Times New Roman"/>
          <w:b/>
          <w:color w:val="000000"/>
          <w:sz w:val="24"/>
          <w:szCs w:val="24"/>
        </w:rPr>
      </w:pPr>
      <w:r>
        <w:rPr>
          <w:rFonts w:ascii="宋体" w:eastAsia="宋体" w:hAnsi="宋体" w:cs="Times New Roman"/>
          <w:b/>
          <w:color w:val="000000"/>
          <w:sz w:val="24"/>
          <w:szCs w:val="24"/>
        </w:rPr>
        <w:t>（一）相关部门审批意见</w:t>
      </w:r>
    </w:p>
    <w:p w14:paraId="7DD6BAC7"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由于公司连续聘任容诚会计师事务所（特殊普通合伙）为公司年度审计机构 已超过10年，为保持公司年度审计工作的持续性、稳定性和审计质量，根据《国 有企业、上市公司选聘会计师事务所管理办法》有关规定，经履行出资人职责的 机构</w:t>
      </w:r>
      <w:r>
        <w:rPr>
          <w:rFonts w:ascii="宋体" w:eastAsia="宋体" w:hAnsi="宋体" w:cs="Times New Roman" w:hint="eastAsia"/>
          <w:sz w:val="24"/>
          <w:szCs w:val="24"/>
        </w:rPr>
        <w:t>安徽</w:t>
      </w:r>
      <w:r>
        <w:rPr>
          <w:rFonts w:ascii="宋体" w:eastAsia="宋体" w:hAnsi="宋体" w:cs="Times New Roman"/>
          <w:sz w:val="24"/>
          <w:szCs w:val="24"/>
        </w:rPr>
        <w:t>西湖投资控股集团有限公司批复，同意公司续聘容诚会计师事务所（特殊普通合伙）为2024年度审计机构，</w:t>
      </w:r>
      <w:r>
        <w:rPr>
          <w:rFonts w:ascii="宋体" w:eastAsia="宋体" w:hAnsi="宋体" w:cs="Times New Roman" w:hint="eastAsia"/>
          <w:sz w:val="24"/>
          <w:szCs w:val="24"/>
        </w:rPr>
        <w:t>聘期</w:t>
      </w:r>
      <w:r>
        <w:rPr>
          <w:rFonts w:ascii="宋体" w:eastAsia="宋体" w:hAnsi="宋体" w:cs="Times New Roman"/>
          <w:sz w:val="24"/>
          <w:szCs w:val="24"/>
        </w:rPr>
        <w:t>一年。</w:t>
      </w:r>
    </w:p>
    <w:p w14:paraId="1AB5428E" w14:textId="77777777" w:rsidR="00F80306" w:rsidRDefault="00411755">
      <w:pPr>
        <w:adjustRightInd w:val="0"/>
        <w:snapToGrid w:val="0"/>
        <w:spacing w:line="360" w:lineRule="auto"/>
        <w:ind w:firstLineChars="200" w:firstLine="482"/>
        <w:rPr>
          <w:rFonts w:ascii="宋体" w:eastAsia="宋体" w:hAnsi="宋体" w:cs="Times New Roman"/>
          <w:b/>
          <w:color w:val="000000"/>
          <w:sz w:val="24"/>
          <w:szCs w:val="24"/>
        </w:rPr>
      </w:pPr>
      <w:r>
        <w:rPr>
          <w:rFonts w:ascii="宋体" w:eastAsia="宋体" w:hAnsi="宋体" w:cs="Times New Roman" w:hint="eastAsia"/>
          <w:b/>
          <w:color w:val="000000"/>
          <w:sz w:val="24"/>
          <w:szCs w:val="24"/>
        </w:rPr>
        <w:t>（二）审计委员会意见</w:t>
      </w:r>
    </w:p>
    <w:p w14:paraId="59FD61DD" w14:textId="77777777" w:rsidR="00F80306" w:rsidRDefault="00411755">
      <w:pPr>
        <w:adjustRightInd w:val="0"/>
        <w:snapToGri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sz w:val="24"/>
          <w:szCs w:val="24"/>
        </w:rPr>
        <w:t>本次聘任会计师事务所事项已经公司董事会审计委员会审议通过，审计委员 会认为：容诚会计师事务所（特殊普通合伙）具有较强的专业胜任能力和投资者 保护能力，不存在违反《中国注册会计师职业道德守则》对独立性要求的情形， 诚信状况良好，具备为上市公司提供审计服务的资质和专业能力，能够满足公司 财务报告审计和内部控制审计工作要求。在为公司提供审计服务过程中，独立、 客观、公正、及时地完成了公司 2023年财务报告审计和内部控制审计工作。同 意续聘容诚会计师事务所（特殊普通合伙）为公司2024年度审计机构，</w:t>
      </w:r>
      <w:r>
        <w:rPr>
          <w:rFonts w:ascii="宋体" w:eastAsia="宋体" w:hAnsi="宋体" w:cs="Times New Roman"/>
          <w:color w:val="000000" w:themeColor="text1"/>
          <w:sz w:val="24"/>
          <w:szCs w:val="24"/>
        </w:rPr>
        <w:t>并同意 将该议案提交公司第</w:t>
      </w:r>
      <w:r>
        <w:rPr>
          <w:rFonts w:ascii="宋体" w:eastAsia="宋体" w:hAnsi="宋体" w:cs="Times New Roman" w:hint="eastAsia"/>
          <w:color w:val="000000" w:themeColor="text1"/>
          <w:sz w:val="24"/>
          <w:szCs w:val="24"/>
        </w:rPr>
        <w:t>十</w:t>
      </w:r>
      <w:r>
        <w:rPr>
          <w:rFonts w:ascii="宋体" w:eastAsia="宋体" w:hAnsi="宋体" w:cs="Times New Roman"/>
          <w:color w:val="000000" w:themeColor="text1"/>
          <w:sz w:val="24"/>
          <w:szCs w:val="24"/>
        </w:rPr>
        <w:t>届董事会</w:t>
      </w:r>
      <w:r>
        <w:rPr>
          <w:rFonts w:ascii="宋体" w:eastAsia="宋体" w:hAnsi="宋体" w:cs="Times New Roman" w:hint="eastAsia"/>
          <w:color w:val="000000" w:themeColor="text1"/>
          <w:sz w:val="24"/>
          <w:szCs w:val="24"/>
        </w:rPr>
        <w:t>六次</w:t>
      </w:r>
      <w:r>
        <w:rPr>
          <w:rFonts w:ascii="宋体" w:eastAsia="宋体" w:hAnsi="宋体" w:cs="Times New Roman"/>
          <w:color w:val="000000" w:themeColor="text1"/>
          <w:sz w:val="24"/>
          <w:szCs w:val="24"/>
        </w:rPr>
        <w:t>会议审议。</w:t>
      </w:r>
    </w:p>
    <w:p w14:paraId="197BF0F7" w14:textId="77777777" w:rsidR="00F80306" w:rsidRDefault="00411755">
      <w:pPr>
        <w:adjustRightInd w:val="0"/>
        <w:snapToGrid w:val="0"/>
        <w:spacing w:line="360" w:lineRule="auto"/>
        <w:ind w:firstLineChars="200" w:firstLine="482"/>
        <w:rPr>
          <w:rFonts w:ascii="宋体" w:eastAsia="宋体" w:hAnsi="宋体" w:cs="Times New Roman"/>
          <w:b/>
          <w:color w:val="000000"/>
          <w:sz w:val="24"/>
          <w:szCs w:val="24"/>
        </w:rPr>
      </w:pPr>
      <w:r>
        <w:rPr>
          <w:rFonts w:ascii="宋体" w:eastAsia="宋体" w:hAnsi="宋体" w:cs="Times New Roman"/>
          <w:b/>
          <w:color w:val="000000"/>
          <w:sz w:val="24"/>
          <w:szCs w:val="24"/>
        </w:rPr>
        <w:t>（三）董事会的审议和表决情况</w:t>
      </w:r>
    </w:p>
    <w:p w14:paraId="78FE830A"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color w:val="000000" w:themeColor="text1"/>
          <w:sz w:val="24"/>
          <w:szCs w:val="24"/>
        </w:rPr>
        <w:t>公司于2024 年9月2</w:t>
      </w:r>
      <w:r>
        <w:rPr>
          <w:rFonts w:ascii="宋体" w:eastAsia="宋体" w:hAnsi="宋体" w:cs="Times New Roman" w:hint="eastAsia"/>
          <w:color w:val="000000" w:themeColor="text1"/>
          <w:sz w:val="24"/>
          <w:szCs w:val="24"/>
        </w:rPr>
        <w:t>5</w:t>
      </w:r>
      <w:r>
        <w:rPr>
          <w:rFonts w:ascii="宋体" w:eastAsia="宋体" w:hAnsi="宋体" w:cs="Times New Roman"/>
          <w:color w:val="000000" w:themeColor="text1"/>
          <w:sz w:val="24"/>
          <w:szCs w:val="24"/>
        </w:rPr>
        <w:t>日召开第</w:t>
      </w:r>
      <w:r>
        <w:rPr>
          <w:rFonts w:ascii="宋体" w:eastAsia="宋体" w:hAnsi="宋体" w:cs="Times New Roman" w:hint="eastAsia"/>
          <w:color w:val="000000" w:themeColor="text1"/>
          <w:sz w:val="24"/>
          <w:szCs w:val="24"/>
        </w:rPr>
        <w:t>十</w:t>
      </w:r>
      <w:r>
        <w:rPr>
          <w:rFonts w:ascii="宋体" w:eastAsia="宋体" w:hAnsi="宋体" w:cs="Times New Roman"/>
          <w:color w:val="000000" w:themeColor="text1"/>
          <w:sz w:val="24"/>
          <w:szCs w:val="24"/>
        </w:rPr>
        <w:t>届董事会第</w:t>
      </w:r>
      <w:r>
        <w:rPr>
          <w:rFonts w:ascii="宋体" w:eastAsia="宋体" w:hAnsi="宋体" w:cs="Times New Roman" w:hint="eastAsia"/>
          <w:color w:val="000000" w:themeColor="text1"/>
          <w:sz w:val="24"/>
          <w:szCs w:val="24"/>
        </w:rPr>
        <w:t>六</w:t>
      </w:r>
      <w:r>
        <w:rPr>
          <w:rFonts w:ascii="宋体" w:eastAsia="宋体" w:hAnsi="宋体" w:cs="Times New Roman"/>
          <w:color w:val="000000" w:themeColor="text1"/>
          <w:sz w:val="24"/>
          <w:szCs w:val="24"/>
        </w:rPr>
        <w:t>次会议，审议通</w:t>
      </w:r>
      <w:r>
        <w:rPr>
          <w:rFonts w:ascii="宋体" w:eastAsia="宋体" w:hAnsi="宋体" w:cs="Times New Roman"/>
          <w:sz w:val="24"/>
          <w:szCs w:val="24"/>
        </w:rPr>
        <w:t xml:space="preserve">过了《关于续聘会计师事务所的议案》，同意续聘容诚会计师事务所（特殊普通合伙）为 公司 2024 年度审计机构，聘期一年。 </w:t>
      </w:r>
    </w:p>
    <w:p w14:paraId="1F7C2388" w14:textId="77777777" w:rsidR="00F80306" w:rsidRDefault="00411755">
      <w:pPr>
        <w:adjustRightInd w:val="0"/>
        <w:snapToGrid w:val="0"/>
        <w:spacing w:line="360" w:lineRule="auto"/>
        <w:ind w:firstLineChars="200" w:firstLine="482"/>
        <w:rPr>
          <w:rFonts w:ascii="宋体" w:eastAsia="宋体" w:hAnsi="宋体" w:cs="Times New Roman"/>
          <w:b/>
          <w:color w:val="000000"/>
          <w:sz w:val="24"/>
          <w:szCs w:val="24"/>
        </w:rPr>
      </w:pPr>
      <w:r>
        <w:rPr>
          <w:rFonts w:ascii="宋体" w:eastAsia="宋体" w:hAnsi="宋体" w:cs="Times New Roman"/>
          <w:b/>
          <w:color w:val="000000"/>
          <w:sz w:val="24"/>
          <w:szCs w:val="24"/>
        </w:rPr>
        <w:t xml:space="preserve">（四）生效日期 </w:t>
      </w:r>
    </w:p>
    <w:p w14:paraId="457350A0" w14:textId="77777777" w:rsidR="00F80306" w:rsidRDefault="00411755">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本次聘任会计师事务所事项尚需提交公司股东大会审议，并自公司股东大会审议通过之日起生效。</w:t>
      </w:r>
    </w:p>
    <w:p w14:paraId="0474E4B9" w14:textId="77777777" w:rsidR="00F80306" w:rsidRDefault="00411755">
      <w:pPr>
        <w:adjustRightInd w:val="0"/>
        <w:snapToGrid w:val="0"/>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特此公告。</w:t>
      </w:r>
    </w:p>
    <w:p w14:paraId="72155682" w14:textId="77777777" w:rsidR="00F80306" w:rsidRDefault="00F80306">
      <w:pPr>
        <w:adjustRightInd w:val="0"/>
        <w:snapToGrid w:val="0"/>
        <w:spacing w:line="360" w:lineRule="auto"/>
        <w:ind w:firstLineChars="200" w:firstLine="480"/>
        <w:jc w:val="right"/>
        <w:rPr>
          <w:rFonts w:ascii="宋体" w:eastAsia="宋体" w:hAnsi="宋体" w:cs="Times New Roman"/>
          <w:color w:val="000000"/>
          <w:sz w:val="24"/>
          <w:szCs w:val="24"/>
        </w:rPr>
      </w:pPr>
    </w:p>
    <w:p w14:paraId="66B0E966" w14:textId="77777777" w:rsidR="00F80306" w:rsidRDefault="00F80306">
      <w:pPr>
        <w:adjustRightInd w:val="0"/>
        <w:snapToGrid w:val="0"/>
        <w:spacing w:line="360" w:lineRule="auto"/>
        <w:ind w:firstLineChars="200" w:firstLine="480"/>
        <w:jc w:val="right"/>
        <w:rPr>
          <w:rFonts w:ascii="宋体" w:eastAsia="宋体" w:hAnsi="宋体" w:cs="Times New Roman"/>
          <w:color w:val="000000"/>
          <w:sz w:val="24"/>
          <w:szCs w:val="24"/>
        </w:rPr>
      </w:pPr>
    </w:p>
    <w:p w14:paraId="18B6BF89" w14:textId="77777777" w:rsidR="00F80306" w:rsidRDefault="00411755">
      <w:pPr>
        <w:adjustRightInd w:val="0"/>
        <w:snapToGrid w:val="0"/>
        <w:spacing w:line="360" w:lineRule="auto"/>
        <w:ind w:firstLineChars="200" w:firstLine="480"/>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                          安徽铜峰电子股份有限公司董事会</w:t>
      </w:r>
    </w:p>
    <w:p w14:paraId="4AC9D62B" w14:textId="2FB0314D" w:rsidR="00F80306" w:rsidRDefault="00411755">
      <w:pPr>
        <w:adjustRightInd w:val="0"/>
        <w:snapToGrid w:val="0"/>
        <w:spacing w:line="360" w:lineRule="auto"/>
        <w:ind w:firstLineChars="200" w:firstLine="480"/>
        <w:jc w:val="center"/>
        <w:rPr>
          <w:rFonts w:ascii="宋体" w:eastAsia="宋体" w:hAnsi="宋体" w:cs="Times New Roman"/>
          <w:color w:val="000000" w:themeColor="text1"/>
          <w:sz w:val="24"/>
          <w:szCs w:val="24"/>
        </w:rPr>
      </w:pPr>
      <w:r>
        <w:rPr>
          <w:rFonts w:ascii="宋体" w:eastAsia="宋体" w:hAnsi="宋体" w:cs="Times New Roman" w:hint="eastAsia"/>
          <w:color w:val="000000"/>
          <w:sz w:val="24"/>
          <w:szCs w:val="24"/>
        </w:rPr>
        <w:t xml:space="preserve">                     </w:t>
      </w:r>
      <w:r>
        <w:rPr>
          <w:rFonts w:ascii="宋体" w:eastAsia="宋体" w:hAnsi="宋体" w:cs="Times New Roman" w:hint="eastAsia"/>
          <w:color w:val="FF0000"/>
          <w:sz w:val="24"/>
          <w:szCs w:val="24"/>
        </w:rPr>
        <w:t xml:space="preserve"> </w:t>
      </w:r>
      <w:r w:rsidRPr="00CE6874">
        <w:rPr>
          <w:rFonts w:ascii="宋体" w:eastAsia="宋体" w:hAnsi="宋体" w:cs="Times New Roman" w:hint="eastAsia"/>
          <w:color w:val="000000" w:themeColor="text1"/>
          <w:sz w:val="24"/>
          <w:szCs w:val="24"/>
        </w:rPr>
        <w:t xml:space="preserve">       202</w:t>
      </w:r>
      <w:r w:rsidRPr="00CE6874">
        <w:rPr>
          <w:rFonts w:ascii="宋体" w:eastAsia="宋体" w:hAnsi="宋体" w:cs="Times New Roman"/>
          <w:color w:val="000000" w:themeColor="text1"/>
          <w:sz w:val="24"/>
          <w:szCs w:val="24"/>
        </w:rPr>
        <w:t>4</w:t>
      </w:r>
      <w:r w:rsidRPr="00CE6874">
        <w:rPr>
          <w:rFonts w:ascii="宋体" w:eastAsia="宋体" w:hAnsi="宋体" w:cs="Times New Roman" w:hint="eastAsia"/>
          <w:color w:val="000000" w:themeColor="text1"/>
          <w:sz w:val="24"/>
          <w:szCs w:val="24"/>
        </w:rPr>
        <w:t>年9月26日</w:t>
      </w:r>
    </w:p>
    <w:p w14:paraId="156031A4" w14:textId="77777777" w:rsidR="002E3504" w:rsidRDefault="002E3504">
      <w:pPr>
        <w:adjustRightInd w:val="0"/>
        <w:snapToGrid w:val="0"/>
        <w:spacing w:line="360" w:lineRule="auto"/>
        <w:ind w:firstLineChars="200" w:firstLine="480"/>
        <w:jc w:val="center"/>
        <w:rPr>
          <w:rFonts w:ascii="宋体" w:eastAsia="宋体" w:hAnsi="宋体" w:cs="Times New Roman"/>
          <w:color w:val="000000" w:themeColor="text1"/>
          <w:sz w:val="24"/>
          <w:szCs w:val="24"/>
        </w:rPr>
      </w:pPr>
    </w:p>
    <w:p w14:paraId="5A0A00AF" w14:textId="05198FE8" w:rsidR="002E3504" w:rsidRPr="008109BD" w:rsidRDefault="002E3504" w:rsidP="002E3504">
      <w:pPr>
        <w:adjustRightInd w:val="0"/>
        <w:snapToGrid w:val="0"/>
        <w:spacing w:line="360" w:lineRule="auto"/>
        <w:ind w:firstLineChars="200" w:firstLine="480"/>
        <w:rPr>
          <w:rFonts w:ascii="宋体" w:eastAsia="宋体" w:hAnsi="宋体" w:cs="Times New Roman"/>
          <w:color w:val="000000"/>
          <w:sz w:val="24"/>
          <w:szCs w:val="24"/>
        </w:rPr>
      </w:pPr>
      <w:r w:rsidRPr="008109BD">
        <w:rPr>
          <w:rFonts w:ascii="宋体" w:eastAsia="宋体" w:hAnsi="宋体" w:cs="Times New Roman"/>
          <w:color w:val="000000"/>
          <w:sz w:val="24"/>
          <w:szCs w:val="24"/>
        </w:rPr>
        <w:t>报备文件：</w:t>
      </w:r>
      <w:r w:rsidRPr="008109BD">
        <w:rPr>
          <w:rFonts w:ascii="宋体" w:eastAsia="宋体" w:hAnsi="宋体" w:cs="Times New Roman" w:hint="eastAsia"/>
          <w:color w:val="000000"/>
          <w:sz w:val="24"/>
          <w:szCs w:val="24"/>
        </w:rPr>
        <w:t>1</w:t>
      </w:r>
      <w:r w:rsidRPr="008109BD">
        <w:rPr>
          <w:rFonts w:ascii="宋体" w:eastAsia="宋体" w:hAnsi="宋体" w:cs="Times New Roman"/>
          <w:color w:val="000000"/>
          <w:sz w:val="24"/>
          <w:szCs w:val="24"/>
        </w:rPr>
        <w:t>、</w:t>
      </w:r>
      <w:r w:rsidRPr="008109BD">
        <w:rPr>
          <w:rFonts w:ascii="宋体" w:eastAsia="宋体" w:hAnsi="宋体" w:cs="Times New Roman" w:hint="eastAsia"/>
          <w:color w:val="000000"/>
          <w:sz w:val="24"/>
          <w:szCs w:val="24"/>
        </w:rPr>
        <w:t>拟</w:t>
      </w:r>
      <w:r w:rsidRPr="008109BD">
        <w:rPr>
          <w:rFonts w:ascii="宋体" w:eastAsia="宋体" w:hAnsi="宋体" w:cs="Times New Roman"/>
          <w:color w:val="000000"/>
          <w:sz w:val="24"/>
          <w:szCs w:val="24"/>
        </w:rPr>
        <w:t>聘任会计师事务所关于其基本情况的说明</w:t>
      </w:r>
      <w:r w:rsidRPr="008109BD">
        <w:rPr>
          <w:rFonts w:ascii="宋体" w:eastAsia="宋体" w:hAnsi="宋体" w:cs="Times New Roman" w:hint="eastAsia"/>
          <w:color w:val="000000"/>
          <w:sz w:val="24"/>
          <w:szCs w:val="24"/>
        </w:rPr>
        <w:t>；</w:t>
      </w:r>
    </w:p>
    <w:p w14:paraId="40B2727A" w14:textId="1CC6D2A2" w:rsidR="002E3504" w:rsidRPr="008109BD" w:rsidRDefault="002E3504" w:rsidP="002E3504">
      <w:pPr>
        <w:adjustRightInd w:val="0"/>
        <w:snapToGrid w:val="0"/>
        <w:spacing w:line="360" w:lineRule="auto"/>
        <w:ind w:firstLineChars="200" w:firstLine="480"/>
        <w:rPr>
          <w:rFonts w:ascii="宋体" w:eastAsia="宋体" w:hAnsi="宋体" w:cs="Times New Roman"/>
          <w:color w:val="000000"/>
          <w:sz w:val="24"/>
          <w:szCs w:val="24"/>
        </w:rPr>
      </w:pPr>
      <w:r w:rsidRPr="008109BD">
        <w:rPr>
          <w:rFonts w:ascii="宋体" w:eastAsia="宋体" w:hAnsi="宋体" w:cs="Times New Roman"/>
          <w:color w:val="000000"/>
          <w:sz w:val="24"/>
          <w:szCs w:val="24"/>
        </w:rPr>
        <w:t xml:space="preserve">          2</w:t>
      </w:r>
      <w:r w:rsidRPr="008109BD">
        <w:rPr>
          <w:rFonts w:ascii="宋体" w:eastAsia="宋体" w:hAnsi="宋体" w:cs="Times New Roman" w:hint="eastAsia"/>
          <w:color w:val="000000"/>
          <w:sz w:val="24"/>
          <w:szCs w:val="24"/>
        </w:rPr>
        <w:t>、</w:t>
      </w:r>
      <w:r w:rsidR="00256CC0" w:rsidRPr="008109BD">
        <w:rPr>
          <w:rFonts w:ascii="宋体" w:eastAsia="宋体" w:hAnsi="宋体" w:cs="Times New Roman"/>
          <w:color w:val="000000"/>
          <w:sz w:val="24"/>
          <w:szCs w:val="24"/>
        </w:rPr>
        <w:t>安徽铜峰电子股份有限公</w:t>
      </w:r>
      <w:bookmarkStart w:id="0" w:name="_GoBack"/>
      <w:bookmarkEnd w:id="0"/>
      <w:r w:rsidR="00256CC0" w:rsidRPr="008109BD">
        <w:rPr>
          <w:rFonts w:ascii="宋体" w:eastAsia="宋体" w:hAnsi="宋体" w:cs="Times New Roman"/>
          <w:color w:val="000000"/>
          <w:sz w:val="24"/>
          <w:szCs w:val="24"/>
        </w:rPr>
        <w:t>司</w:t>
      </w:r>
      <w:r w:rsidRPr="008109BD">
        <w:rPr>
          <w:rFonts w:ascii="宋体" w:eastAsia="宋体" w:hAnsi="宋体" w:cs="Times New Roman" w:hint="eastAsia"/>
          <w:color w:val="000000"/>
          <w:sz w:val="24"/>
          <w:szCs w:val="24"/>
        </w:rPr>
        <w:t>审计</w:t>
      </w:r>
      <w:r w:rsidRPr="008109BD">
        <w:rPr>
          <w:rFonts w:ascii="宋体" w:eastAsia="宋体" w:hAnsi="宋体" w:cs="Times New Roman"/>
          <w:color w:val="000000"/>
          <w:sz w:val="24"/>
          <w:szCs w:val="24"/>
        </w:rPr>
        <w:t>委员会决议。</w:t>
      </w:r>
    </w:p>
    <w:sectPr w:rsidR="002E3504" w:rsidRPr="008109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2817FC"/>
    <w:multiLevelType w:val="singleLevel"/>
    <w:tmpl w:val="A02817FC"/>
    <w:lvl w:ilvl="0">
      <w:start w:val="3"/>
      <w:numFmt w:val="decimal"/>
      <w:lvlText w:val="%1."/>
      <w:lvlJc w:val="left"/>
      <w:pPr>
        <w:tabs>
          <w:tab w:val="left" w:pos="312"/>
        </w:tabs>
      </w:pPr>
    </w:lvl>
  </w:abstractNum>
  <w:abstractNum w:abstractNumId="1" w15:restartNumberingAfterBreak="0">
    <w:nsid w:val="127D0067"/>
    <w:multiLevelType w:val="singleLevel"/>
    <w:tmpl w:val="127D0067"/>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551E2598"/>
    <w:multiLevelType w:val="hybridMultilevel"/>
    <w:tmpl w:val="22D238FE"/>
    <w:lvl w:ilvl="0" w:tplc="856027BE">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yMjEzNmY3YWYwZGUzN2JjNTcxYjdmNzY2ZmY0NTUifQ=="/>
  </w:docVars>
  <w:rsids>
    <w:rsidRoot w:val="00C45882"/>
    <w:rsid w:val="00053F2B"/>
    <w:rsid w:val="0007677C"/>
    <w:rsid w:val="000C00AD"/>
    <w:rsid w:val="000E4186"/>
    <w:rsid w:val="00102718"/>
    <w:rsid w:val="0010335A"/>
    <w:rsid w:val="00106F2F"/>
    <w:rsid w:val="001267F8"/>
    <w:rsid w:val="001957F8"/>
    <w:rsid w:val="001C6BD8"/>
    <w:rsid w:val="001D595B"/>
    <w:rsid w:val="00225C5B"/>
    <w:rsid w:val="0022740E"/>
    <w:rsid w:val="00256CC0"/>
    <w:rsid w:val="002768B4"/>
    <w:rsid w:val="00280212"/>
    <w:rsid w:val="002D5A8F"/>
    <w:rsid w:val="002E3504"/>
    <w:rsid w:val="002E59E4"/>
    <w:rsid w:val="002F0A10"/>
    <w:rsid w:val="003015F3"/>
    <w:rsid w:val="00306AB6"/>
    <w:rsid w:val="00332FDC"/>
    <w:rsid w:val="00345716"/>
    <w:rsid w:val="00351A3B"/>
    <w:rsid w:val="00372106"/>
    <w:rsid w:val="00393216"/>
    <w:rsid w:val="00397F70"/>
    <w:rsid w:val="003C0350"/>
    <w:rsid w:val="003E68EF"/>
    <w:rsid w:val="00411755"/>
    <w:rsid w:val="00460CFB"/>
    <w:rsid w:val="004F119E"/>
    <w:rsid w:val="004F3FEE"/>
    <w:rsid w:val="00503DA8"/>
    <w:rsid w:val="00522783"/>
    <w:rsid w:val="005227C7"/>
    <w:rsid w:val="00563E94"/>
    <w:rsid w:val="005739BB"/>
    <w:rsid w:val="005B2075"/>
    <w:rsid w:val="005E20C8"/>
    <w:rsid w:val="005F6853"/>
    <w:rsid w:val="006824A3"/>
    <w:rsid w:val="006935EA"/>
    <w:rsid w:val="006B4074"/>
    <w:rsid w:val="006C3754"/>
    <w:rsid w:val="006F0BE1"/>
    <w:rsid w:val="00703A7F"/>
    <w:rsid w:val="007049C7"/>
    <w:rsid w:val="00712DB8"/>
    <w:rsid w:val="008109BD"/>
    <w:rsid w:val="00834E01"/>
    <w:rsid w:val="008778DA"/>
    <w:rsid w:val="00893D11"/>
    <w:rsid w:val="008B1649"/>
    <w:rsid w:val="008D25EB"/>
    <w:rsid w:val="00942889"/>
    <w:rsid w:val="009872D6"/>
    <w:rsid w:val="00992F13"/>
    <w:rsid w:val="009D249A"/>
    <w:rsid w:val="009F39C9"/>
    <w:rsid w:val="009F553B"/>
    <w:rsid w:val="00A969F6"/>
    <w:rsid w:val="00AC0B75"/>
    <w:rsid w:val="00AF2D52"/>
    <w:rsid w:val="00B10544"/>
    <w:rsid w:val="00B2227B"/>
    <w:rsid w:val="00B2418C"/>
    <w:rsid w:val="00B40456"/>
    <w:rsid w:val="00B52767"/>
    <w:rsid w:val="00B630B9"/>
    <w:rsid w:val="00B679B0"/>
    <w:rsid w:val="00B77794"/>
    <w:rsid w:val="00B861DA"/>
    <w:rsid w:val="00B95727"/>
    <w:rsid w:val="00C12300"/>
    <w:rsid w:val="00C145F9"/>
    <w:rsid w:val="00C1557D"/>
    <w:rsid w:val="00C35AAF"/>
    <w:rsid w:val="00C45882"/>
    <w:rsid w:val="00C8285F"/>
    <w:rsid w:val="00C95F47"/>
    <w:rsid w:val="00CE583B"/>
    <w:rsid w:val="00CE6874"/>
    <w:rsid w:val="00D15FD2"/>
    <w:rsid w:val="00D36761"/>
    <w:rsid w:val="00D407DB"/>
    <w:rsid w:val="00D53A92"/>
    <w:rsid w:val="00D53F28"/>
    <w:rsid w:val="00DE4133"/>
    <w:rsid w:val="00DE4429"/>
    <w:rsid w:val="00DF4F0E"/>
    <w:rsid w:val="00E012E7"/>
    <w:rsid w:val="00E558A3"/>
    <w:rsid w:val="00E6635A"/>
    <w:rsid w:val="00E71AEF"/>
    <w:rsid w:val="00E75AE2"/>
    <w:rsid w:val="00E97625"/>
    <w:rsid w:val="00EA0EF7"/>
    <w:rsid w:val="00ED4485"/>
    <w:rsid w:val="00EE086A"/>
    <w:rsid w:val="00F116C5"/>
    <w:rsid w:val="00F1331A"/>
    <w:rsid w:val="00F15D93"/>
    <w:rsid w:val="00F25ACC"/>
    <w:rsid w:val="00F33E50"/>
    <w:rsid w:val="00F45E69"/>
    <w:rsid w:val="00F552FE"/>
    <w:rsid w:val="00F80306"/>
    <w:rsid w:val="00F80547"/>
    <w:rsid w:val="00F9649A"/>
    <w:rsid w:val="00FE38A6"/>
    <w:rsid w:val="00FE4EB0"/>
    <w:rsid w:val="10110D73"/>
    <w:rsid w:val="1E7F2E8E"/>
    <w:rsid w:val="2B1151B3"/>
    <w:rsid w:val="39340A26"/>
    <w:rsid w:val="55DA79D5"/>
    <w:rsid w:val="6CF90DC0"/>
    <w:rsid w:val="77B5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DC52"/>
  <w15:docId w15:val="{15576EA3-345C-40A8-9DEC-179D9DA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paragraph" w:styleId="a6">
    <w:name w:val="List Paragraph"/>
    <w:basedOn w:val="a"/>
    <w:uiPriority w:val="99"/>
    <w:rsid w:val="00411755"/>
    <w:pPr>
      <w:ind w:firstLineChars="200" w:firstLine="420"/>
    </w:pPr>
  </w:style>
  <w:style w:type="paragraph" w:styleId="a7">
    <w:name w:val="Date"/>
    <w:basedOn w:val="a"/>
    <w:next w:val="a"/>
    <w:link w:val="a8"/>
    <w:uiPriority w:val="99"/>
    <w:semiHidden/>
    <w:unhideWhenUsed/>
    <w:rsid w:val="002E3504"/>
    <w:pPr>
      <w:ind w:leftChars="2500" w:left="100"/>
    </w:pPr>
  </w:style>
  <w:style w:type="character" w:customStyle="1" w:styleId="a8">
    <w:name w:val="日期 字符"/>
    <w:basedOn w:val="a0"/>
    <w:link w:val="a7"/>
    <w:uiPriority w:val="99"/>
    <w:semiHidden/>
    <w:rsid w:val="002E350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457</Words>
  <Characters>2610</Characters>
  <Application>Microsoft Office Word</Application>
  <DocSecurity>0</DocSecurity>
  <Lines>21</Lines>
  <Paragraphs>6</Paragraphs>
  <ScaleCrop>false</ScaleCrop>
  <Company>中国微软</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李骏</dc:creator>
  <cp:lastModifiedBy>李骏</cp:lastModifiedBy>
  <cp:revision>13</cp:revision>
  <dcterms:created xsi:type="dcterms:W3CDTF">2024-09-05T08:13:00Z</dcterms:created>
  <dcterms:modified xsi:type="dcterms:W3CDTF">2024-09-25T08:01:00Z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AE8184403E5148C9BE2A22F13C37E450_13</vt:lpwstr>
  </property>
</Properties>
</file>