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5F" w:rsidRPr="00567292" w:rsidRDefault="00276D25">
      <w:pPr>
        <w:adjustRightInd w:val="0"/>
        <w:snapToGrid w:val="0"/>
        <w:spacing w:line="332" w:lineRule="auto"/>
        <w:rPr>
          <w:rFonts w:ascii="黑体" w:eastAsia="黑体"/>
          <w:sz w:val="28"/>
          <w:szCs w:val="28"/>
        </w:rPr>
      </w:pPr>
      <w:r>
        <w:rPr>
          <w:rFonts w:ascii="黑体" w:eastAsia="黑体" w:hint="eastAsia"/>
          <w:sz w:val="28"/>
        </w:rPr>
        <w:t>证券代码：</w:t>
      </w:r>
      <w:r>
        <w:rPr>
          <w:rFonts w:ascii="黑体" w:eastAsia="黑体"/>
          <w:sz w:val="28"/>
        </w:rPr>
        <w:t>600237</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Pr>
          <w:rFonts w:ascii="黑体" w:eastAsia="黑体" w:hint="eastAsia"/>
          <w:sz w:val="28"/>
        </w:rPr>
        <w:t xml:space="preserve">  </w:t>
      </w:r>
      <w:r>
        <w:rPr>
          <w:rFonts w:ascii="黑体" w:eastAsia="黑体" w:hint="eastAsia"/>
          <w:color w:val="000000" w:themeColor="text1"/>
          <w:sz w:val="28"/>
        </w:rPr>
        <w:t>公告编</w:t>
      </w:r>
      <w:bookmarkStart w:id="0" w:name="_GoBack"/>
      <w:r w:rsidRPr="00567292">
        <w:rPr>
          <w:rFonts w:ascii="黑体" w:eastAsia="黑体" w:hint="eastAsia"/>
          <w:sz w:val="28"/>
        </w:rPr>
        <w:t>号：临2024-</w:t>
      </w:r>
      <w:r w:rsidRPr="00567292">
        <w:rPr>
          <w:rFonts w:ascii="黑体" w:eastAsia="黑体"/>
          <w:sz w:val="28"/>
        </w:rPr>
        <w:t>0</w:t>
      </w:r>
      <w:r w:rsidRPr="00567292">
        <w:rPr>
          <w:rFonts w:ascii="黑体" w:eastAsia="黑体" w:hint="eastAsia"/>
          <w:sz w:val="28"/>
        </w:rPr>
        <w:t>11</w:t>
      </w:r>
    </w:p>
    <w:bookmarkEnd w:id="0"/>
    <w:p w:rsidR="001C4E5F" w:rsidRDefault="001C4E5F">
      <w:pPr>
        <w:adjustRightInd w:val="0"/>
        <w:snapToGrid w:val="0"/>
        <w:spacing w:line="332" w:lineRule="auto"/>
        <w:ind w:firstLineChars="200" w:firstLine="640"/>
        <w:jc w:val="center"/>
        <w:rPr>
          <w:rFonts w:ascii="黑体" w:eastAsia="黑体"/>
          <w:sz w:val="32"/>
        </w:rPr>
      </w:pPr>
    </w:p>
    <w:p w:rsidR="001C4E5F" w:rsidRDefault="00276D25">
      <w:pPr>
        <w:adjustRightInd w:val="0"/>
        <w:snapToGrid w:val="0"/>
        <w:spacing w:line="332" w:lineRule="auto"/>
        <w:ind w:firstLineChars="200" w:firstLine="720"/>
        <w:jc w:val="center"/>
        <w:rPr>
          <w:rFonts w:ascii="黑体" w:eastAsia="黑体"/>
          <w:color w:val="FF0000"/>
          <w:sz w:val="36"/>
          <w:szCs w:val="36"/>
        </w:rPr>
      </w:pPr>
      <w:r>
        <w:rPr>
          <w:rFonts w:ascii="黑体" w:eastAsia="黑体" w:hint="eastAsia"/>
          <w:color w:val="FF0000"/>
          <w:sz w:val="36"/>
          <w:szCs w:val="36"/>
        </w:rPr>
        <w:t>安徽铜峰电子股份有限公司关于在泰国投资新建生产基地的公告</w:t>
      </w:r>
    </w:p>
    <w:p w:rsidR="001C4E5F" w:rsidRDefault="001C4E5F">
      <w:pPr>
        <w:adjustRightInd w:val="0"/>
        <w:snapToGrid w:val="0"/>
        <w:spacing w:line="332" w:lineRule="auto"/>
        <w:ind w:firstLineChars="200" w:firstLine="720"/>
        <w:jc w:val="center"/>
        <w:rPr>
          <w:rFonts w:ascii="黑体" w:eastAsia="黑体"/>
          <w:sz w:val="36"/>
          <w:szCs w:val="36"/>
        </w:rPr>
      </w:pPr>
    </w:p>
    <w:p w:rsidR="001C4E5F" w:rsidRDefault="00276D25">
      <w:pPr>
        <w:adjustRightInd w:val="0"/>
        <w:snapToGrid w:val="0"/>
        <w:spacing w:line="332" w:lineRule="auto"/>
        <w:ind w:firstLineChars="200" w:firstLine="482"/>
        <w:rPr>
          <w:rFonts w:ascii="宋体" w:hAnsi="宋体"/>
          <w:b/>
          <w:sz w:val="24"/>
          <w:szCs w:val="20"/>
        </w:rPr>
      </w:pPr>
      <w:r>
        <w:rPr>
          <w:rFonts w:ascii="宋体" w:hAnsi="宋体" w:hint="eastAsia"/>
          <w:b/>
          <w:sz w:val="24"/>
          <w:szCs w:val="20"/>
        </w:rPr>
        <w:t>本公司董事会及全体董事保证本公告内容不存在任何虚假记载、误导性陈述或者重大遗漏，并对其内容的真实性、准确性和完整性承担法律责任。</w:t>
      </w:r>
    </w:p>
    <w:p w:rsidR="001C4E5F" w:rsidRDefault="001C4E5F">
      <w:pPr>
        <w:widowControl/>
        <w:snapToGrid w:val="0"/>
        <w:spacing w:line="360" w:lineRule="auto"/>
        <w:ind w:firstLineChars="200" w:firstLine="480"/>
        <w:jc w:val="left"/>
        <w:rPr>
          <w:rFonts w:ascii="宋体" w:hAnsi="宋体"/>
          <w:sz w:val="24"/>
        </w:rPr>
      </w:pPr>
    </w:p>
    <w:p w:rsidR="001C4E5F" w:rsidRDefault="00276D25">
      <w:pPr>
        <w:widowControl/>
        <w:snapToGrid w:val="0"/>
        <w:spacing w:line="360" w:lineRule="auto"/>
        <w:ind w:firstLineChars="200" w:firstLine="482"/>
        <w:jc w:val="left"/>
        <w:rPr>
          <w:rFonts w:ascii="宋体" w:hAnsi="宋体"/>
          <w:b/>
          <w:bCs/>
          <w:sz w:val="24"/>
        </w:rPr>
      </w:pPr>
      <w:r>
        <w:rPr>
          <w:rFonts w:ascii="宋体" w:hAnsi="宋体" w:hint="eastAsia"/>
          <w:b/>
          <w:bCs/>
          <w:sz w:val="24"/>
        </w:rPr>
        <w:t xml:space="preserve">特别提示：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1、在泰国投资新建生产基地（下称“本次对外投资”）尚需履行国内境外投资备案或审批手续，以及泰国当地投资许可和企业登记等审批手续，尽管目前评估不存在重大法律障碍，但依然存在不能获得相关主管部门批准的风险，本次对外投资能否顺利实施存在一定的不确定性。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2、泰国的法律法规、政策体系、商业环境、文化特征等与国内存在较大差异，泰国生产基地在设立及运营过程中，存在一定的管理、运营和市场风险，本次对外投资效果能否达到预期存在不确定性。 </w:t>
      </w:r>
    </w:p>
    <w:p w:rsidR="001C4E5F" w:rsidRDefault="001C4E5F">
      <w:pPr>
        <w:widowControl/>
        <w:snapToGrid w:val="0"/>
        <w:spacing w:line="360" w:lineRule="auto"/>
        <w:ind w:firstLineChars="200" w:firstLine="480"/>
        <w:jc w:val="left"/>
        <w:rPr>
          <w:rFonts w:ascii="宋体" w:hAnsi="宋体"/>
          <w:sz w:val="24"/>
        </w:rPr>
      </w:pPr>
    </w:p>
    <w:p w:rsidR="001C4E5F" w:rsidRDefault="00276D25">
      <w:pPr>
        <w:widowControl/>
        <w:snapToGrid w:val="0"/>
        <w:spacing w:line="360" w:lineRule="auto"/>
        <w:ind w:firstLineChars="200" w:firstLine="480"/>
        <w:jc w:val="left"/>
        <w:rPr>
          <w:rFonts w:ascii="黑体" w:eastAsia="黑体" w:hAnsi="黑体" w:cs="黑体"/>
          <w:sz w:val="24"/>
        </w:rPr>
      </w:pPr>
      <w:r>
        <w:rPr>
          <w:rFonts w:ascii="黑体" w:eastAsia="黑体" w:hAnsi="黑体" w:cs="黑体" w:hint="eastAsia"/>
          <w:sz w:val="24"/>
        </w:rPr>
        <w:t xml:space="preserve">一、本次对外投资概述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（一）基本情况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为更好地满足公司业务发展需要，安徽铜峰电子股份有限公司（以下简称“公司”）董事会在充分调研评估的基础上，拟在泰国投</w:t>
      </w:r>
      <w:r>
        <w:rPr>
          <w:rFonts w:ascii="宋体" w:hAnsi="宋体" w:hint="eastAsia"/>
          <w:color w:val="000000" w:themeColor="text1"/>
          <w:sz w:val="24"/>
        </w:rPr>
        <w:t>资新建生产基地</w:t>
      </w:r>
      <w:r>
        <w:rPr>
          <w:rFonts w:ascii="宋体" w:hAnsi="宋体" w:hint="eastAsia"/>
          <w:sz w:val="24"/>
        </w:rPr>
        <w:t>。该项目计划投资金额不超过8</w:t>
      </w:r>
      <w:r>
        <w:rPr>
          <w:rFonts w:ascii="宋体" w:hAnsi="宋体"/>
          <w:sz w:val="24"/>
        </w:rPr>
        <w:t>,</w:t>
      </w:r>
      <w:r>
        <w:rPr>
          <w:rFonts w:ascii="宋体" w:hAnsi="宋体" w:hint="eastAsia"/>
          <w:sz w:val="24"/>
        </w:rPr>
        <w:t xml:space="preserve">000万元人民币，包括但不限于在泰国设立公司、购买土地、购建固定资产等相关事项，实际投资金额以中国及当地主管部门批准金额为准。公司将根据市场需求和业务进展等具体情况分阶段实施建设泰国生产基地。 </w:t>
      </w:r>
    </w:p>
    <w:p w:rsidR="001C4E5F" w:rsidRDefault="00276D25" w:rsidP="00B95042">
      <w:pPr>
        <w:widowControl/>
        <w:snapToGrid w:val="0"/>
        <w:spacing w:line="360" w:lineRule="auto"/>
        <w:ind w:firstLineChars="200" w:firstLine="480"/>
        <w:jc w:val="left"/>
        <w:rPr>
          <w:rFonts w:ascii="宋体" w:hAnsi="宋体"/>
          <w:sz w:val="24"/>
        </w:rPr>
      </w:pPr>
      <w:r>
        <w:rPr>
          <w:rFonts w:ascii="宋体" w:hAnsi="宋体" w:hint="eastAsia"/>
          <w:sz w:val="24"/>
        </w:rPr>
        <w:t xml:space="preserve">（二）审批情况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公司于2024年3月16日召开第十届董事会第二次会议，审议通过了《关于在泰国投资新建生产基地的议案》，同意在泰国投资新建生产基地，投资金额不超过8</w:t>
      </w:r>
      <w:r>
        <w:rPr>
          <w:rFonts w:ascii="宋体" w:hAnsi="宋体"/>
          <w:sz w:val="24"/>
        </w:rPr>
        <w:t>,</w:t>
      </w:r>
      <w:r>
        <w:rPr>
          <w:rFonts w:ascii="宋体" w:hAnsi="宋体" w:hint="eastAsia"/>
          <w:sz w:val="24"/>
        </w:rPr>
        <w:t>000万元人民币。</w:t>
      </w:r>
    </w:p>
    <w:p w:rsidR="001C4E5F" w:rsidRDefault="00276D25">
      <w:pPr>
        <w:widowControl/>
        <w:snapToGrid w:val="0"/>
        <w:spacing w:line="360" w:lineRule="auto"/>
        <w:ind w:firstLineChars="200" w:firstLine="480"/>
        <w:rPr>
          <w:rFonts w:ascii="宋体" w:hAnsi="宋体"/>
          <w:sz w:val="24"/>
        </w:rPr>
      </w:pPr>
      <w:r>
        <w:rPr>
          <w:rFonts w:ascii="宋体" w:hAnsi="宋体" w:hint="eastAsia"/>
          <w:sz w:val="24"/>
        </w:rPr>
        <w:lastRenderedPageBreak/>
        <w:t>董事会同时授权公司经营管理层及其合法授权人员在泰国生产基地投资事项内制定与实施具体方案、申请投资备案登记、聘请代理服务中介机构、设立泰国公司及海外架构搭建、签署土地购买等相关协议或文件，及办理其他与本事项相关的一切事宜。上述授权期限自公司董事会审议通过之日起至上述授权事项办理完毕之日止。</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根据《上海证券交易所股票上市规则》及《公司章程》等相关规定，本次对外投资事项在公司董事会授权范围之内，无须提交公司股东大会审议。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（三）其他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1、本次对外投资不构成关联交易，亦不构成《上市公司重大资产重组管理办法》规定的重大资产重组。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2、本次对外投资尚需履行国内境外投资备案或审批手续，以及泰国当地投资许可和企业登记等审批手续。 </w:t>
      </w:r>
    </w:p>
    <w:p w:rsidR="001C4E5F" w:rsidRDefault="001C4E5F">
      <w:pPr>
        <w:widowControl/>
        <w:snapToGrid w:val="0"/>
        <w:spacing w:line="360" w:lineRule="auto"/>
        <w:ind w:firstLineChars="200" w:firstLine="480"/>
        <w:jc w:val="left"/>
        <w:rPr>
          <w:rFonts w:ascii="宋体" w:hAnsi="宋体"/>
          <w:sz w:val="24"/>
        </w:rPr>
      </w:pPr>
    </w:p>
    <w:p w:rsidR="001C4E5F" w:rsidRDefault="00276D25">
      <w:pPr>
        <w:widowControl/>
        <w:snapToGrid w:val="0"/>
        <w:spacing w:line="360" w:lineRule="auto"/>
        <w:ind w:firstLineChars="200" w:firstLine="480"/>
        <w:jc w:val="left"/>
        <w:rPr>
          <w:rFonts w:ascii="黑体" w:eastAsia="黑体" w:hAnsi="黑体" w:cs="黑体"/>
          <w:sz w:val="24"/>
        </w:rPr>
      </w:pPr>
      <w:r>
        <w:rPr>
          <w:rFonts w:ascii="黑体" w:eastAsia="黑体" w:hAnsi="黑体" w:cs="黑体" w:hint="eastAsia"/>
          <w:sz w:val="24"/>
        </w:rPr>
        <w:t xml:space="preserve">二、本次对外投资的基本情况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1、投资金额及资金来源：本次对外投资金额不超过8</w:t>
      </w:r>
      <w:r>
        <w:rPr>
          <w:rFonts w:ascii="宋体" w:hAnsi="宋体"/>
          <w:sz w:val="24"/>
        </w:rPr>
        <w:t>,</w:t>
      </w:r>
      <w:r>
        <w:rPr>
          <w:rFonts w:ascii="宋体" w:hAnsi="宋体" w:hint="eastAsia"/>
          <w:sz w:val="24"/>
        </w:rPr>
        <w:t xml:space="preserve">000万元人民币，投资资金来源于公司自有资金和自筹资金。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2、公司计划在泰国工业园区购买土地， 作为在泰国投资新建生产基地的建设用地，以满足公司泰国生产基地注册及未来项目建设需求。</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3、本次对外投资的具体路径公司尚在规划之中，泰国公司尚未设立，泰国公司的注册登记信息最终以当地登记机关核准为准。在泰国投资新设公司须履行国内境外投资备案或审批手续以及泰国当地投资许可和企业登记等审批程序。 </w:t>
      </w:r>
    </w:p>
    <w:p w:rsidR="001C4E5F" w:rsidRDefault="001C4E5F">
      <w:pPr>
        <w:widowControl/>
        <w:snapToGrid w:val="0"/>
        <w:spacing w:line="360" w:lineRule="auto"/>
        <w:ind w:firstLineChars="200" w:firstLine="480"/>
        <w:jc w:val="left"/>
        <w:rPr>
          <w:rFonts w:ascii="宋体" w:hAnsi="宋体"/>
          <w:sz w:val="24"/>
        </w:rPr>
      </w:pPr>
    </w:p>
    <w:p w:rsidR="001C4E5F" w:rsidRDefault="00276D25">
      <w:pPr>
        <w:widowControl/>
        <w:snapToGrid w:val="0"/>
        <w:spacing w:line="360" w:lineRule="auto"/>
        <w:ind w:firstLineChars="200" w:firstLine="480"/>
        <w:jc w:val="left"/>
        <w:rPr>
          <w:rFonts w:ascii="黑体" w:eastAsia="黑体" w:hAnsi="黑体" w:cs="黑体"/>
          <w:sz w:val="24"/>
        </w:rPr>
      </w:pPr>
      <w:r>
        <w:rPr>
          <w:rFonts w:ascii="黑体" w:eastAsia="黑体" w:hAnsi="黑体" w:cs="黑体" w:hint="eastAsia"/>
          <w:sz w:val="24"/>
        </w:rPr>
        <w:t xml:space="preserve">三、本次对外投资的目的和对公司的影响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公司本次在泰国投资建设生产基地，是公司实施海外战略布局的重要举措，有利于公司开拓海外市场，建立产品海外供应能力，更好的满足国际客户的订单需求。有利于公司更加灵活地应对宏观环境波动、产业政策调整以及国际贸易格局变化可能对公司形成的潜在不利影响。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泰国作为新兴市场经济体，近年来亦承接了较多产能转移，相关产业</w:t>
      </w:r>
      <w:proofErr w:type="gramStart"/>
      <w:r>
        <w:rPr>
          <w:rFonts w:ascii="宋体" w:hAnsi="宋体" w:hint="eastAsia"/>
          <w:sz w:val="24"/>
        </w:rPr>
        <w:t>链配套</w:t>
      </w:r>
      <w:proofErr w:type="gramEnd"/>
      <w:r>
        <w:rPr>
          <w:rFonts w:ascii="宋体" w:hAnsi="宋体" w:hint="eastAsia"/>
          <w:sz w:val="24"/>
        </w:rPr>
        <w:t xml:space="preserve">也不断得到完善，可以较好满足公司建设海外生产基地的需要。本次海外生产基地的建设与实施能够更好地满足公司客户的需求，增强公司核心竞争力。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lastRenderedPageBreak/>
        <w:t xml:space="preserve">本次投资对公司的长远发展具有积极影响，符合全体股东的利益。本次对外投资不会对公司财务状况和经营成果产生重大不利影响，不存在损害公司及全体股东利益的情形。 </w:t>
      </w:r>
    </w:p>
    <w:p w:rsidR="001C4E5F" w:rsidRDefault="001C4E5F">
      <w:pPr>
        <w:widowControl/>
        <w:snapToGrid w:val="0"/>
        <w:spacing w:line="360" w:lineRule="auto"/>
        <w:ind w:firstLineChars="200" w:firstLine="480"/>
        <w:jc w:val="left"/>
        <w:rPr>
          <w:rFonts w:ascii="宋体" w:hAnsi="宋体"/>
          <w:sz w:val="24"/>
        </w:rPr>
      </w:pPr>
    </w:p>
    <w:p w:rsidR="001C4E5F" w:rsidRDefault="00276D25">
      <w:pPr>
        <w:widowControl/>
        <w:snapToGrid w:val="0"/>
        <w:spacing w:line="360" w:lineRule="auto"/>
        <w:ind w:firstLineChars="200" w:firstLine="480"/>
        <w:jc w:val="left"/>
        <w:rPr>
          <w:rFonts w:ascii="黑体" w:eastAsia="黑体" w:hAnsi="黑体" w:cs="黑体"/>
          <w:sz w:val="24"/>
        </w:rPr>
      </w:pPr>
      <w:r>
        <w:rPr>
          <w:rFonts w:ascii="黑体" w:eastAsia="黑体" w:hAnsi="黑体" w:cs="黑体" w:hint="eastAsia"/>
          <w:sz w:val="24"/>
        </w:rPr>
        <w:t xml:space="preserve">四、本次对外投资的风险分析及应对措施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 xml:space="preserve">1、本次对外投资尚需履行国内境外投资备案或审批手续，以及泰国当地投资许可和企业登记等审批手续，尽管目前评估不存在重大法律障碍，但依然存在不能获得相关主管部门批准的风险，本次对外投资能否顺利实施存在一定的不确定性。公司将积极推进相关审批进程，与相关部门积极沟通，争取尽早完成相关审批或备案及登记手续。 </w:t>
      </w: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2、泰国的法律法规、政策体系、商业环境、文化特征等与国内存在较大差异，泰国生产基地在设立及运营过程中，存在一定的管理、运营和市场风险，本次对外投资效果能否达到预期存在不确定性。公司将学习并借鉴同业及客户海外投资和运营管理的先进经验，尽快熟悉并掌握泰国的商业文化环境和法律体系，设计符合市场需求的产品与技术方案，投入和产品及技术方案相匹配的设备资源，根据市场需求变化控制投资节奏，并采取有效的措施激励和培训团队，以保障泰国生产基地的良好运行，最大限度避免和降低经营风险。</w:t>
      </w:r>
    </w:p>
    <w:p w:rsidR="001C4E5F" w:rsidRDefault="001C4E5F">
      <w:pPr>
        <w:widowControl/>
        <w:snapToGrid w:val="0"/>
        <w:spacing w:line="360" w:lineRule="auto"/>
        <w:ind w:firstLineChars="200" w:firstLine="480"/>
        <w:jc w:val="left"/>
        <w:rPr>
          <w:rFonts w:ascii="宋体" w:hAnsi="宋体"/>
          <w:sz w:val="24"/>
        </w:rPr>
      </w:pPr>
    </w:p>
    <w:p w:rsidR="001C4E5F" w:rsidRDefault="00276D25">
      <w:pPr>
        <w:widowControl/>
        <w:snapToGrid w:val="0"/>
        <w:spacing w:line="360" w:lineRule="auto"/>
        <w:ind w:firstLineChars="200" w:firstLine="480"/>
        <w:jc w:val="left"/>
        <w:rPr>
          <w:rFonts w:ascii="宋体" w:hAnsi="宋体"/>
          <w:sz w:val="24"/>
        </w:rPr>
      </w:pPr>
      <w:r>
        <w:rPr>
          <w:rFonts w:ascii="宋体" w:hAnsi="宋体" w:hint="eastAsia"/>
          <w:sz w:val="24"/>
        </w:rPr>
        <w:t>公司将按照相关法律法规的规定，在本次对外投资项目的推进过程中及时履行后续信息披露义务，敬请广大投资者注意投资风险。</w:t>
      </w:r>
    </w:p>
    <w:p w:rsidR="001C4E5F" w:rsidRDefault="00276D25">
      <w:pPr>
        <w:widowControl/>
        <w:snapToGrid w:val="0"/>
        <w:spacing w:line="360" w:lineRule="auto"/>
        <w:ind w:firstLineChars="200" w:firstLine="480"/>
        <w:jc w:val="left"/>
        <w:rPr>
          <w:rFonts w:ascii="宋体" w:hAnsi="宋体"/>
          <w:sz w:val="24"/>
          <w:szCs w:val="20"/>
        </w:rPr>
      </w:pPr>
      <w:r>
        <w:rPr>
          <w:rFonts w:ascii="宋体" w:hAnsi="宋体"/>
          <w:sz w:val="24"/>
          <w:szCs w:val="20"/>
        </w:rPr>
        <w:t>特此公告。</w:t>
      </w:r>
    </w:p>
    <w:p w:rsidR="001C4E5F" w:rsidRDefault="001C4E5F">
      <w:pPr>
        <w:adjustRightInd w:val="0"/>
        <w:snapToGrid w:val="0"/>
        <w:spacing w:line="332" w:lineRule="auto"/>
        <w:ind w:firstLineChars="200" w:firstLine="480"/>
        <w:rPr>
          <w:rFonts w:ascii="宋体" w:hAnsi="宋体"/>
          <w:sz w:val="24"/>
          <w:szCs w:val="20"/>
        </w:rPr>
      </w:pPr>
    </w:p>
    <w:p w:rsidR="001C4E5F" w:rsidRDefault="00276D25">
      <w:pPr>
        <w:adjustRightInd w:val="0"/>
        <w:snapToGrid w:val="0"/>
        <w:spacing w:line="332" w:lineRule="auto"/>
        <w:ind w:firstLineChars="1900" w:firstLine="4560"/>
        <w:rPr>
          <w:rFonts w:ascii="宋体" w:hAnsi="宋体"/>
          <w:sz w:val="24"/>
          <w:szCs w:val="20"/>
        </w:rPr>
      </w:pPr>
      <w:r>
        <w:rPr>
          <w:rFonts w:ascii="宋体" w:hAnsi="宋体" w:hint="eastAsia"/>
          <w:sz w:val="24"/>
          <w:szCs w:val="20"/>
        </w:rPr>
        <w:t>安徽铜峰电子</w:t>
      </w:r>
      <w:r>
        <w:rPr>
          <w:rFonts w:ascii="宋体" w:hAnsi="宋体"/>
          <w:sz w:val="24"/>
          <w:szCs w:val="20"/>
        </w:rPr>
        <w:t>股份有限公司董事会</w:t>
      </w:r>
    </w:p>
    <w:p w:rsidR="001C4E5F" w:rsidRDefault="00276D25">
      <w:pPr>
        <w:adjustRightInd w:val="0"/>
        <w:snapToGrid w:val="0"/>
        <w:spacing w:line="332" w:lineRule="auto"/>
        <w:ind w:firstLineChars="200" w:firstLine="480"/>
        <w:rPr>
          <w:rFonts w:ascii="宋体" w:hAnsi="宋体"/>
          <w:color w:val="000000" w:themeColor="text1"/>
          <w:sz w:val="24"/>
          <w:szCs w:val="20"/>
        </w:rPr>
      </w:pPr>
      <w:r>
        <w:rPr>
          <w:rFonts w:ascii="宋体" w:hAnsi="宋体" w:hint="eastAsia"/>
          <w:sz w:val="24"/>
          <w:szCs w:val="20"/>
        </w:rPr>
        <w:t xml:space="preserve">                                       </w:t>
      </w:r>
      <w:r>
        <w:rPr>
          <w:rFonts w:ascii="宋体" w:hAnsi="宋体" w:hint="eastAsia"/>
          <w:color w:val="000000" w:themeColor="text1"/>
          <w:sz w:val="24"/>
          <w:szCs w:val="20"/>
        </w:rPr>
        <w:t xml:space="preserve">    </w:t>
      </w:r>
      <w:r>
        <w:rPr>
          <w:rFonts w:ascii="宋体" w:hAnsi="宋体"/>
          <w:color w:val="000000" w:themeColor="text1"/>
          <w:sz w:val="24"/>
          <w:szCs w:val="20"/>
        </w:rPr>
        <w:t>202</w:t>
      </w:r>
      <w:r>
        <w:rPr>
          <w:rFonts w:ascii="宋体" w:hAnsi="宋体" w:hint="eastAsia"/>
          <w:color w:val="000000" w:themeColor="text1"/>
          <w:sz w:val="24"/>
          <w:szCs w:val="20"/>
        </w:rPr>
        <w:t>4</w:t>
      </w:r>
      <w:r>
        <w:rPr>
          <w:rFonts w:ascii="宋体" w:hAnsi="宋体"/>
          <w:color w:val="000000" w:themeColor="text1"/>
          <w:sz w:val="24"/>
          <w:szCs w:val="20"/>
        </w:rPr>
        <w:t>年</w:t>
      </w:r>
      <w:r>
        <w:rPr>
          <w:rFonts w:ascii="宋体" w:hAnsi="宋体" w:hint="eastAsia"/>
          <w:color w:val="000000" w:themeColor="text1"/>
          <w:sz w:val="24"/>
          <w:szCs w:val="20"/>
        </w:rPr>
        <w:t>3月19</w:t>
      </w:r>
      <w:r>
        <w:rPr>
          <w:rFonts w:ascii="宋体" w:hAnsi="宋体"/>
          <w:color w:val="000000" w:themeColor="text1"/>
          <w:sz w:val="24"/>
          <w:szCs w:val="20"/>
        </w:rPr>
        <w:t>日</w:t>
      </w:r>
    </w:p>
    <w:sectPr w:rsidR="001C4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OWMzZmE1MjVlYmVkMTI3NWVhMmExZmNhNWEwOWMifQ=="/>
  </w:docVars>
  <w:rsids>
    <w:rsidRoot w:val="00A74C25"/>
    <w:rsid w:val="00033EA4"/>
    <w:rsid w:val="000651E4"/>
    <w:rsid w:val="00066435"/>
    <w:rsid w:val="0008201E"/>
    <w:rsid w:val="000D668B"/>
    <w:rsid w:val="001051C4"/>
    <w:rsid w:val="00116A43"/>
    <w:rsid w:val="00132FCF"/>
    <w:rsid w:val="00192F52"/>
    <w:rsid w:val="001C4E5F"/>
    <w:rsid w:val="001D2CAE"/>
    <w:rsid w:val="001E696C"/>
    <w:rsid w:val="00200CA4"/>
    <w:rsid w:val="002615C2"/>
    <w:rsid w:val="00275731"/>
    <w:rsid w:val="0027579B"/>
    <w:rsid w:val="00276D25"/>
    <w:rsid w:val="00285ED6"/>
    <w:rsid w:val="0033588F"/>
    <w:rsid w:val="00387A9A"/>
    <w:rsid w:val="003E32D3"/>
    <w:rsid w:val="00430C6F"/>
    <w:rsid w:val="0043138F"/>
    <w:rsid w:val="0048628A"/>
    <w:rsid w:val="004951F4"/>
    <w:rsid w:val="004A7300"/>
    <w:rsid w:val="004B5CF1"/>
    <w:rsid w:val="00547A72"/>
    <w:rsid w:val="00567292"/>
    <w:rsid w:val="00571641"/>
    <w:rsid w:val="005F6D25"/>
    <w:rsid w:val="00630D12"/>
    <w:rsid w:val="00680185"/>
    <w:rsid w:val="00697DD6"/>
    <w:rsid w:val="006B1B62"/>
    <w:rsid w:val="006C2CA5"/>
    <w:rsid w:val="006E7155"/>
    <w:rsid w:val="006F2A5C"/>
    <w:rsid w:val="00705310"/>
    <w:rsid w:val="0075734F"/>
    <w:rsid w:val="00774580"/>
    <w:rsid w:val="00776549"/>
    <w:rsid w:val="00782977"/>
    <w:rsid w:val="00796340"/>
    <w:rsid w:val="007C160A"/>
    <w:rsid w:val="007C4101"/>
    <w:rsid w:val="007D6A21"/>
    <w:rsid w:val="00812A0B"/>
    <w:rsid w:val="008A78A6"/>
    <w:rsid w:val="009129FB"/>
    <w:rsid w:val="00932BCD"/>
    <w:rsid w:val="00942C40"/>
    <w:rsid w:val="00A16B2E"/>
    <w:rsid w:val="00A72A90"/>
    <w:rsid w:val="00A74C25"/>
    <w:rsid w:val="00A96229"/>
    <w:rsid w:val="00AE30E5"/>
    <w:rsid w:val="00B236DD"/>
    <w:rsid w:val="00B27B52"/>
    <w:rsid w:val="00B74823"/>
    <w:rsid w:val="00B95042"/>
    <w:rsid w:val="00C05AEE"/>
    <w:rsid w:val="00C21F50"/>
    <w:rsid w:val="00C34C0D"/>
    <w:rsid w:val="00C40779"/>
    <w:rsid w:val="00C85C9B"/>
    <w:rsid w:val="00D278B7"/>
    <w:rsid w:val="00DC0F01"/>
    <w:rsid w:val="00E06E54"/>
    <w:rsid w:val="00E67F31"/>
    <w:rsid w:val="00E83D21"/>
    <w:rsid w:val="00EB0E78"/>
    <w:rsid w:val="00EB5E3E"/>
    <w:rsid w:val="00EC19A8"/>
    <w:rsid w:val="00EF211E"/>
    <w:rsid w:val="00F54B33"/>
    <w:rsid w:val="00FB18D2"/>
    <w:rsid w:val="00FE33FA"/>
    <w:rsid w:val="08CC0577"/>
    <w:rsid w:val="0A027782"/>
    <w:rsid w:val="0DE70611"/>
    <w:rsid w:val="2290015D"/>
    <w:rsid w:val="2F9475A5"/>
    <w:rsid w:val="33F5506A"/>
    <w:rsid w:val="49D4309A"/>
    <w:rsid w:val="4B7B12CA"/>
    <w:rsid w:val="51E23DD5"/>
    <w:rsid w:val="619E71FC"/>
    <w:rsid w:val="64D876EE"/>
    <w:rsid w:val="71801EB1"/>
    <w:rsid w:val="724601DF"/>
    <w:rsid w:val="73C34D9E"/>
    <w:rsid w:val="74CF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7B9E9-754D-4599-B5B6-2ADD8555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3">
    <w:name w:val="heading 3"/>
    <w:basedOn w:val="a"/>
    <w:next w:val="a"/>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309</Words>
  <Characters>1763</Characters>
  <Application>Microsoft Office Word</Application>
  <DocSecurity>0</DocSecurity>
  <Lines>14</Lines>
  <Paragraphs>4</Paragraphs>
  <ScaleCrop>false</ScaleCrop>
  <Company>中国微软</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李骏</dc:creator>
  <cp:lastModifiedBy>李骏</cp:lastModifiedBy>
  <cp:revision>20</cp:revision>
  <dcterms:created xsi:type="dcterms:W3CDTF">2023-07-05T06:11:00Z</dcterms:created>
  <dcterms:modified xsi:type="dcterms:W3CDTF">2024-03-18T04:31:00Z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DDEFF715CFB441F48964D514EEC25A01_12</vt:lpwstr>
  </property>
</Properties>
</file>