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A03D4" w:rsidRPr="00E54E25" w:rsidRDefault="00CB10F1">
      <w:pPr>
        <w:adjustRightInd w:val="0"/>
        <w:snapToGrid w:val="0"/>
        <w:spacing w:line="336" w:lineRule="auto"/>
        <w:rPr>
          <w:rFonts w:ascii="黑体" w:eastAsia="黑体" w:hAnsi="Calibri" w:cs="Times New Roman"/>
          <w:sz w:val="28"/>
        </w:rPr>
      </w:pPr>
      <w:r>
        <w:rPr>
          <w:rFonts w:ascii="黑体" w:eastAsia="黑体" w:hAnsi="Calibri" w:cs="Times New Roman" w:hint="eastAsia"/>
          <w:sz w:val="28"/>
        </w:rPr>
        <w:t xml:space="preserve">证券代码：600237    证券简称：铜峰电子    </w:t>
      </w:r>
      <w:r w:rsidRPr="00E54E25">
        <w:rPr>
          <w:rFonts w:ascii="黑体" w:eastAsia="黑体" w:hAnsi="Calibri" w:cs="Times New Roman" w:hint="eastAsia"/>
          <w:sz w:val="28"/>
        </w:rPr>
        <w:t>公告编号：临2024-006</w:t>
      </w:r>
    </w:p>
    <w:p w:rsidR="00EA03D4" w:rsidRDefault="00EA03D4">
      <w:pPr>
        <w:adjustRightInd w:val="0"/>
        <w:snapToGrid w:val="0"/>
        <w:spacing w:line="336" w:lineRule="auto"/>
        <w:rPr>
          <w:rFonts w:ascii="黑体" w:eastAsia="黑体" w:hAnsi="Calibri" w:cs="Times New Roman"/>
          <w:sz w:val="28"/>
        </w:rPr>
      </w:pPr>
    </w:p>
    <w:p w:rsidR="00EA03D4" w:rsidRDefault="00CB10F1">
      <w:pPr>
        <w:widowControl/>
        <w:snapToGrid w:val="0"/>
        <w:spacing w:line="336" w:lineRule="auto"/>
        <w:jc w:val="center"/>
        <w:outlineLvl w:val="1"/>
        <w:rPr>
          <w:rFonts w:ascii="Calibri" w:eastAsia="黑体" w:hAnsi="Calibri" w:cs="Times New Roman"/>
          <w:color w:val="FF0000"/>
          <w:sz w:val="36"/>
        </w:rPr>
      </w:pPr>
      <w:r>
        <w:rPr>
          <w:rFonts w:ascii="Calibri" w:eastAsia="黑体" w:hAnsi="Calibri" w:cs="Times New Roman" w:hint="eastAsia"/>
          <w:color w:val="FF0000"/>
          <w:sz w:val="36"/>
        </w:rPr>
        <w:t>安徽铜峰电子</w:t>
      </w:r>
      <w:r>
        <w:rPr>
          <w:rFonts w:ascii="Calibri" w:eastAsia="黑体" w:hAnsi="Calibri" w:cs="Times New Roman"/>
          <w:color w:val="FF0000"/>
          <w:sz w:val="36"/>
        </w:rPr>
        <w:t>股份有限公司</w:t>
      </w:r>
      <w:r>
        <w:rPr>
          <w:rFonts w:eastAsia="黑体" w:hint="eastAsia"/>
          <w:color w:val="FF0000"/>
          <w:sz w:val="36"/>
        </w:rPr>
        <w:t>关于</w:t>
      </w:r>
      <w:r>
        <w:rPr>
          <w:rFonts w:ascii="Calibri" w:eastAsia="黑体" w:hAnsi="Calibri" w:cs="Times New Roman" w:hint="eastAsia"/>
          <w:color w:val="FF0000"/>
          <w:sz w:val="36"/>
        </w:rPr>
        <w:t>预计</w:t>
      </w:r>
      <w:r>
        <w:rPr>
          <w:rFonts w:ascii="Calibri" w:eastAsia="黑体" w:hAnsi="Calibri" w:cs="Times New Roman" w:hint="eastAsia"/>
          <w:color w:val="FF0000"/>
          <w:sz w:val="36"/>
        </w:rPr>
        <w:t>2024</w:t>
      </w:r>
      <w:r>
        <w:rPr>
          <w:rFonts w:ascii="Calibri" w:eastAsia="黑体" w:hAnsi="Calibri" w:cs="Times New Roman" w:hint="eastAsia"/>
          <w:color w:val="FF0000"/>
          <w:sz w:val="36"/>
        </w:rPr>
        <w:t>年为全资及控股子公司提供担保额度的公告</w:t>
      </w:r>
    </w:p>
    <w:p w:rsidR="00EA03D4" w:rsidRDefault="00EA03D4">
      <w:pPr>
        <w:pStyle w:val="a7"/>
        <w:adjustRightInd w:val="0"/>
        <w:snapToGrid w:val="0"/>
        <w:spacing w:before="0" w:beforeAutospacing="0" w:after="0" w:afterAutospacing="0" w:line="336" w:lineRule="auto"/>
        <w:ind w:firstLineChars="200" w:firstLine="562"/>
        <w:rPr>
          <w:rFonts w:ascii="仿宋_GB2312" w:eastAsia="仿宋_GB2312"/>
          <w:b/>
          <w:bCs/>
          <w:sz w:val="28"/>
        </w:rPr>
      </w:pPr>
    </w:p>
    <w:p w:rsidR="00EA03D4" w:rsidRDefault="00CB10F1">
      <w:pPr>
        <w:adjustRightInd w:val="0"/>
        <w:snapToGrid w:val="0"/>
        <w:spacing w:line="336" w:lineRule="auto"/>
        <w:ind w:firstLineChars="200" w:firstLine="482"/>
        <w:rPr>
          <w:rFonts w:ascii="宋体" w:eastAsia="宋体" w:hAnsi="宋体" w:cs="Times New Roman"/>
          <w:b/>
          <w:sz w:val="24"/>
          <w:szCs w:val="24"/>
        </w:rPr>
      </w:pPr>
      <w:r>
        <w:rPr>
          <w:rFonts w:ascii="宋体" w:eastAsia="宋体" w:hAnsi="宋体" w:cs="Times New Roman" w:hint="eastAsia"/>
          <w:b/>
          <w:sz w:val="24"/>
          <w:szCs w:val="24"/>
        </w:rPr>
        <w:t>本公司董事会及全体董事保证本公告内容不存在任何虚假记载、误导性陈述或者重大遗漏，并对其内容的真实性、准确性和完整性承担法律责任。</w:t>
      </w:r>
    </w:p>
    <w:p w:rsidR="00EA03D4" w:rsidRDefault="00EA03D4">
      <w:pPr>
        <w:adjustRightInd w:val="0"/>
        <w:snapToGrid w:val="0"/>
        <w:spacing w:line="336" w:lineRule="auto"/>
        <w:ind w:firstLineChars="200" w:firstLine="482"/>
        <w:rPr>
          <w:rFonts w:ascii="宋体" w:eastAsia="宋体" w:hAnsi="宋体" w:cs="Times New Roman"/>
          <w:b/>
          <w:sz w:val="24"/>
        </w:rPr>
      </w:pPr>
    </w:p>
    <w:p w:rsidR="00EA03D4" w:rsidRDefault="00CB10F1">
      <w:pPr>
        <w:adjustRightInd w:val="0"/>
        <w:snapToGrid w:val="0"/>
        <w:spacing w:line="336" w:lineRule="auto"/>
        <w:ind w:firstLineChars="200" w:firstLine="480"/>
        <w:rPr>
          <w:rFonts w:ascii="宋体" w:eastAsia="宋体" w:hAnsi="宋体" w:cs="宋体"/>
          <w:sz w:val="24"/>
          <w:szCs w:val="24"/>
        </w:rPr>
      </w:pPr>
      <w:r>
        <w:rPr>
          <w:rFonts w:ascii="宋体" w:eastAsia="宋体" w:hAnsi="宋体" w:cs="宋体" w:hint="eastAsia"/>
          <w:sz w:val="24"/>
          <w:szCs w:val="24"/>
        </w:rPr>
        <w:t>重要内容提示：</w:t>
      </w:r>
    </w:p>
    <w:p w:rsidR="00EA03D4" w:rsidRDefault="00CB10F1">
      <w:pPr>
        <w:pStyle w:val="a9"/>
        <w:numPr>
          <w:ilvl w:val="0"/>
          <w:numId w:val="1"/>
        </w:numPr>
        <w:adjustRightInd w:val="0"/>
        <w:snapToGrid w:val="0"/>
        <w:spacing w:line="336" w:lineRule="auto"/>
        <w:ind w:left="307" w:hangingChars="128" w:hanging="307"/>
        <w:rPr>
          <w:rFonts w:asciiTheme="minorEastAsia" w:hAnsiTheme="minorEastAsia" w:cs="宋体"/>
          <w:sz w:val="24"/>
          <w:szCs w:val="24"/>
        </w:rPr>
      </w:pPr>
      <w:r>
        <w:rPr>
          <w:rFonts w:ascii="宋体" w:eastAsia="宋体" w:hAnsi="宋体" w:hint="eastAsia"/>
          <w:sz w:val="24"/>
        </w:rPr>
        <w:t>被担保人：安徽铜峰电子股份有限公司（以下简称“公司或本公司”）所属全资及控股子公司：</w:t>
      </w:r>
      <w:r>
        <w:rPr>
          <w:rFonts w:ascii="宋体" w:eastAsia="宋体" w:hAnsi="宋体" w:cs="Arial" w:hint="eastAsia"/>
          <w:color w:val="000000"/>
          <w:sz w:val="24"/>
        </w:rPr>
        <w:t>安徽铜峰世贸进出口有限公司、安徽铜爱电子材料有限公司。</w:t>
      </w:r>
    </w:p>
    <w:p w:rsidR="00EA03D4" w:rsidRDefault="00CB10F1">
      <w:pPr>
        <w:pStyle w:val="a9"/>
        <w:numPr>
          <w:ilvl w:val="0"/>
          <w:numId w:val="1"/>
        </w:numPr>
        <w:adjustRightInd w:val="0"/>
        <w:snapToGrid w:val="0"/>
        <w:spacing w:line="336" w:lineRule="auto"/>
        <w:ind w:firstLineChars="0"/>
        <w:rPr>
          <w:rFonts w:ascii="宋体" w:eastAsia="宋体" w:hAnsi="宋体"/>
          <w:color w:val="000000" w:themeColor="text1"/>
          <w:sz w:val="24"/>
        </w:rPr>
      </w:pPr>
      <w:r>
        <w:rPr>
          <w:rFonts w:ascii="宋体" w:eastAsia="宋体" w:hAnsi="宋体" w:hint="eastAsia"/>
          <w:color w:val="000000" w:themeColor="text1"/>
          <w:sz w:val="24"/>
        </w:rPr>
        <w:t>本次担保金额及实际为其提供的担保余额:本公司预计未来一年内，为全资及控股子公司提供总额度不超过人民币20,000万元的综合授信担保，用于全资及控股子公司流动资金贷款、开具银</w:t>
      </w:r>
      <w:r>
        <w:rPr>
          <w:rFonts w:ascii="宋体" w:eastAsia="宋体" w:hAnsi="宋体" w:cs="宋体" w:hint="eastAsia"/>
          <w:color w:val="000000" w:themeColor="text1"/>
          <w:sz w:val="24"/>
          <w:szCs w:val="24"/>
        </w:rPr>
        <w:t>行承兑汇票及保函等流动资金周转业务</w:t>
      </w:r>
      <w:r>
        <w:rPr>
          <w:rFonts w:ascii="宋体" w:eastAsia="宋体" w:hAnsi="宋体" w:hint="eastAsia"/>
          <w:color w:val="000000" w:themeColor="text1"/>
          <w:sz w:val="24"/>
        </w:rPr>
        <w:t>品种的担</w:t>
      </w:r>
      <w:r w:rsidRPr="00B57556">
        <w:rPr>
          <w:rFonts w:ascii="宋体" w:eastAsia="宋体" w:hAnsi="宋体" w:hint="eastAsia"/>
          <w:sz w:val="24"/>
        </w:rPr>
        <w:t>保。截止目前，公司为各子公司提供担保余额为：安徽铜峰世贸进出口有限公司10,100万元、安徽铜爱电子材料有限公司3,400万元。</w:t>
      </w:r>
    </w:p>
    <w:p w:rsidR="00EA03D4" w:rsidRDefault="00CB10F1">
      <w:pPr>
        <w:pStyle w:val="a9"/>
        <w:numPr>
          <w:ilvl w:val="0"/>
          <w:numId w:val="1"/>
        </w:numPr>
        <w:adjustRightInd w:val="0"/>
        <w:snapToGrid w:val="0"/>
        <w:spacing w:line="336" w:lineRule="auto"/>
        <w:ind w:firstLineChars="0"/>
        <w:rPr>
          <w:rFonts w:ascii="宋体" w:eastAsia="宋体" w:hAnsi="宋体"/>
          <w:sz w:val="24"/>
        </w:rPr>
      </w:pPr>
      <w:r>
        <w:rPr>
          <w:rFonts w:ascii="宋体" w:eastAsia="宋体" w:hAnsi="宋体" w:hint="eastAsia"/>
          <w:sz w:val="24"/>
        </w:rPr>
        <w:t>本次担保是否有反担保：控股子公司安徽铜爱电子材料有限公司将在担保实施时，为公司出具反担保承诺函。</w:t>
      </w:r>
    </w:p>
    <w:p w:rsidR="00EA03D4" w:rsidRPr="00B57556" w:rsidRDefault="00CB10F1">
      <w:pPr>
        <w:numPr>
          <w:ilvl w:val="0"/>
          <w:numId w:val="1"/>
        </w:numPr>
        <w:adjustRightInd w:val="0"/>
        <w:snapToGrid w:val="0"/>
        <w:spacing w:line="336" w:lineRule="auto"/>
        <w:ind w:left="307" w:hangingChars="128" w:hanging="307"/>
        <w:rPr>
          <w:rFonts w:ascii="宋体" w:eastAsia="宋体" w:hAnsi="宋体"/>
          <w:sz w:val="24"/>
        </w:rPr>
      </w:pPr>
      <w:r w:rsidRPr="00B57556">
        <w:rPr>
          <w:rFonts w:ascii="宋体" w:eastAsia="宋体" w:hAnsi="宋体" w:hint="eastAsia"/>
          <w:sz w:val="24"/>
        </w:rPr>
        <w:t>对外担保总额：</w:t>
      </w:r>
      <w:r w:rsidRPr="00B57556">
        <w:rPr>
          <w:rFonts w:ascii="宋体" w:hAnsi="宋体" w:hint="eastAsia"/>
          <w:sz w:val="24"/>
        </w:rPr>
        <w:t>13,500</w:t>
      </w:r>
      <w:r w:rsidRPr="00B57556">
        <w:rPr>
          <w:rFonts w:ascii="宋体" w:eastAsia="宋体" w:hAnsi="宋体" w:hint="eastAsia"/>
          <w:sz w:val="24"/>
        </w:rPr>
        <w:t>万元人民币（不含本次担保）</w:t>
      </w:r>
    </w:p>
    <w:p w:rsidR="00EA03D4" w:rsidRDefault="00CB10F1">
      <w:pPr>
        <w:numPr>
          <w:ilvl w:val="0"/>
          <w:numId w:val="1"/>
        </w:numPr>
        <w:adjustRightInd w:val="0"/>
        <w:snapToGrid w:val="0"/>
        <w:spacing w:line="336" w:lineRule="auto"/>
        <w:ind w:left="307" w:hangingChars="128" w:hanging="307"/>
        <w:rPr>
          <w:rFonts w:ascii="宋体" w:eastAsia="宋体" w:hAnsi="宋体"/>
          <w:b/>
          <w:bCs/>
          <w:sz w:val="24"/>
        </w:rPr>
      </w:pPr>
      <w:r>
        <w:rPr>
          <w:rFonts w:ascii="宋体" w:eastAsia="宋体" w:hAnsi="宋体" w:hint="eastAsia"/>
          <w:sz w:val="24"/>
        </w:rPr>
        <w:t>对外担保逾期的累计数量：无</w:t>
      </w:r>
    </w:p>
    <w:p w:rsidR="00EA03D4" w:rsidRDefault="00EA03D4">
      <w:pPr>
        <w:adjustRightInd w:val="0"/>
        <w:snapToGrid w:val="0"/>
        <w:spacing w:line="336" w:lineRule="auto"/>
        <w:ind w:firstLineChars="200" w:firstLine="480"/>
        <w:rPr>
          <w:rFonts w:asciiTheme="minorEastAsia" w:hAnsiTheme="minorEastAsia" w:cs="宋体"/>
          <w:sz w:val="24"/>
          <w:szCs w:val="24"/>
        </w:rPr>
      </w:pPr>
    </w:p>
    <w:p w:rsidR="00EA03D4" w:rsidRDefault="00CB10F1">
      <w:pPr>
        <w:adjustRightInd w:val="0"/>
        <w:snapToGrid w:val="0"/>
        <w:spacing w:line="336" w:lineRule="auto"/>
        <w:ind w:firstLineChars="200" w:firstLine="480"/>
        <w:rPr>
          <w:rFonts w:ascii="黑体" w:eastAsia="黑体" w:hAnsi="黑体" w:cs="宋体"/>
          <w:sz w:val="24"/>
          <w:szCs w:val="24"/>
        </w:rPr>
      </w:pPr>
      <w:r>
        <w:rPr>
          <w:rFonts w:ascii="黑体" w:eastAsia="黑体" w:hAnsi="黑体" w:cs="宋体" w:hint="eastAsia"/>
          <w:sz w:val="24"/>
          <w:szCs w:val="24"/>
        </w:rPr>
        <w:t>一、担保情况概述</w:t>
      </w:r>
    </w:p>
    <w:p w:rsidR="00EA03D4" w:rsidRDefault="00CB10F1">
      <w:pPr>
        <w:adjustRightInd w:val="0"/>
        <w:snapToGrid w:val="0"/>
        <w:spacing w:line="336" w:lineRule="auto"/>
        <w:ind w:firstLineChars="200" w:firstLine="482"/>
        <w:rPr>
          <w:rFonts w:asciiTheme="minorEastAsia" w:hAnsiTheme="minorEastAsia" w:cs="宋体"/>
          <w:b/>
          <w:bCs/>
          <w:sz w:val="24"/>
          <w:szCs w:val="24"/>
        </w:rPr>
      </w:pPr>
      <w:r>
        <w:rPr>
          <w:rFonts w:asciiTheme="minorEastAsia" w:hAnsiTheme="minorEastAsia" w:cs="宋体" w:hint="eastAsia"/>
          <w:b/>
          <w:bCs/>
          <w:sz w:val="24"/>
          <w:szCs w:val="24"/>
        </w:rPr>
        <w:t>（一）担保基本情况</w:t>
      </w:r>
    </w:p>
    <w:p w:rsidR="00EA03D4" w:rsidRDefault="00CB10F1">
      <w:pPr>
        <w:adjustRightInd w:val="0"/>
        <w:snapToGrid w:val="0"/>
        <w:spacing w:line="336" w:lineRule="auto"/>
        <w:ind w:firstLineChars="200" w:firstLine="480"/>
        <w:rPr>
          <w:rFonts w:ascii="宋体" w:hAnsi="宋体" w:cs="Arial"/>
          <w:color w:val="000000"/>
          <w:sz w:val="24"/>
        </w:rPr>
      </w:pPr>
      <w:r>
        <w:rPr>
          <w:rFonts w:asciiTheme="minorEastAsia" w:hAnsiTheme="minorEastAsia" w:cs="宋体" w:hint="eastAsia"/>
          <w:sz w:val="24"/>
          <w:szCs w:val="24"/>
        </w:rPr>
        <w:t>为满足公司相关全资及控股子公司生产经营的需要，根据其业务需求及授信计划，公司</w:t>
      </w:r>
      <w:r>
        <w:rPr>
          <w:rFonts w:asciiTheme="minorEastAsia" w:hAnsiTheme="minorEastAsia" w:cs="宋体"/>
          <w:sz w:val="24"/>
          <w:szCs w:val="24"/>
        </w:rPr>
        <w:t>预计在</w:t>
      </w:r>
      <w:r>
        <w:rPr>
          <w:rFonts w:asciiTheme="minorEastAsia" w:hAnsiTheme="minorEastAsia" w:cs="宋体" w:hint="eastAsia"/>
          <w:sz w:val="24"/>
          <w:szCs w:val="24"/>
        </w:rPr>
        <w:t>未来一年内，</w:t>
      </w:r>
      <w:r w:rsidR="00E54E25">
        <w:rPr>
          <w:rFonts w:asciiTheme="minorEastAsia" w:hAnsiTheme="minorEastAsia" w:cs="宋体" w:hint="eastAsia"/>
          <w:sz w:val="24"/>
          <w:szCs w:val="24"/>
        </w:rPr>
        <w:t>为</w:t>
      </w:r>
      <w:r>
        <w:rPr>
          <w:rFonts w:ascii="宋体" w:hAnsi="宋体" w:cs="Arial" w:hint="eastAsia"/>
          <w:color w:val="000000"/>
          <w:sz w:val="24"/>
        </w:rPr>
        <w:t>安徽铜峰世贸进出口有限公司（</w:t>
      </w:r>
      <w:r>
        <w:rPr>
          <w:rFonts w:ascii="宋体" w:hAnsi="宋体" w:hint="eastAsia"/>
          <w:sz w:val="24"/>
        </w:rPr>
        <w:t>以下简称“铜</w:t>
      </w:r>
      <w:r>
        <w:rPr>
          <w:rFonts w:ascii="宋体" w:hAnsi="宋体" w:cs="Arial" w:hint="eastAsia"/>
          <w:color w:val="000000"/>
          <w:sz w:val="24"/>
        </w:rPr>
        <w:t>峰世贸”）</w:t>
      </w:r>
      <w:r>
        <w:rPr>
          <w:rFonts w:ascii="宋体" w:hAnsi="宋体" w:hint="eastAsia"/>
          <w:sz w:val="24"/>
        </w:rPr>
        <w:t>、</w:t>
      </w:r>
      <w:r>
        <w:rPr>
          <w:rFonts w:ascii="宋体" w:hAnsi="宋体" w:cs="Arial" w:hint="eastAsia"/>
          <w:color w:val="000000"/>
          <w:sz w:val="24"/>
        </w:rPr>
        <w:t>安徽铜爱电子材料有限公司（</w:t>
      </w:r>
      <w:r>
        <w:rPr>
          <w:rFonts w:ascii="宋体" w:hAnsi="宋体" w:hint="eastAsia"/>
          <w:sz w:val="24"/>
        </w:rPr>
        <w:t>以下简称“铜爱电子”</w:t>
      </w:r>
      <w:r>
        <w:rPr>
          <w:rFonts w:ascii="宋体" w:hAnsi="宋体" w:cs="Arial" w:hint="eastAsia"/>
          <w:color w:val="000000"/>
          <w:sz w:val="24"/>
        </w:rPr>
        <w:t>）提供总额度不超过人民币20,000万元的综合授信担保，用于各子公司流动资金贷款、开具银行承兑汇票及保函等流动资金周转业务品种的担保，具体安排如下：</w:t>
      </w:r>
    </w:p>
    <w:tbl>
      <w:tblPr>
        <w:tblStyle w:val="a8"/>
        <w:tblW w:w="8613" w:type="dxa"/>
        <w:tblLayout w:type="fixed"/>
        <w:tblLook w:val="04A0" w:firstRow="1" w:lastRow="0" w:firstColumn="1" w:lastColumn="0" w:noHBand="0" w:noVBand="1"/>
      </w:tblPr>
      <w:tblGrid>
        <w:gridCol w:w="3369"/>
        <w:gridCol w:w="2693"/>
        <w:gridCol w:w="2551"/>
      </w:tblGrid>
      <w:tr w:rsidR="00EA03D4">
        <w:tc>
          <w:tcPr>
            <w:tcW w:w="3369" w:type="dxa"/>
          </w:tcPr>
          <w:p w:rsidR="00EA03D4" w:rsidRDefault="00CB10F1">
            <w:pPr>
              <w:adjustRightInd w:val="0"/>
              <w:snapToGrid w:val="0"/>
              <w:spacing w:line="336" w:lineRule="auto"/>
              <w:jc w:val="center"/>
              <w:rPr>
                <w:rFonts w:ascii="宋体" w:hAnsi="宋体"/>
                <w:sz w:val="24"/>
              </w:rPr>
            </w:pPr>
            <w:r>
              <w:rPr>
                <w:rFonts w:ascii="宋体" w:hAnsi="宋体" w:hint="eastAsia"/>
                <w:sz w:val="24"/>
              </w:rPr>
              <w:t>被担保单位名称</w:t>
            </w:r>
          </w:p>
        </w:tc>
        <w:tc>
          <w:tcPr>
            <w:tcW w:w="2693" w:type="dxa"/>
          </w:tcPr>
          <w:p w:rsidR="00EA03D4" w:rsidRDefault="00CB10F1">
            <w:pPr>
              <w:adjustRightInd w:val="0"/>
              <w:snapToGrid w:val="0"/>
              <w:spacing w:line="336" w:lineRule="auto"/>
              <w:jc w:val="center"/>
              <w:rPr>
                <w:rFonts w:ascii="宋体" w:hAnsi="宋体"/>
                <w:sz w:val="24"/>
              </w:rPr>
            </w:pPr>
            <w:r>
              <w:rPr>
                <w:rFonts w:ascii="宋体" w:hAnsi="宋体" w:hint="eastAsia"/>
                <w:sz w:val="24"/>
              </w:rPr>
              <w:t>担保额度上限（万元）</w:t>
            </w:r>
          </w:p>
        </w:tc>
        <w:tc>
          <w:tcPr>
            <w:tcW w:w="2551" w:type="dxa"/>
          </w:tcPr>
          <w:p w:rsidR="00EA03D4" w:rsidRDefault="00CB10F1">
            <w:pPr>
              <w:snapToGrid w:val="0"/>
              <w:spacing w:line="336" w:lineRule="auto"/>
              <w:jc w:val="center"/>
              <w:rPr>
                <w:rFonts w:asciiTheme="minorEastAsia" w:hAnsiTheme="minorEastAsia" w:cs="宋体"/>
                <w:sz w:val="24"/>
                <w:szCs w:val="24"/>
              </w:rPr>
            </w:pPr>
            <w:r>
              <w:rPr>
                <w:rFonts w:asciiTheme="minorEastAsia" w:hAnsiTheme="minorEastAsia" w:cs="宋体" w:hint="eastAsia"/>
                <w:sz w:val="24"/>
                <w:szCs w:val="24"/>
              </w:rPr>
              <w:t>权益比例（%）</w:t>
            </w:r>
          </w:p>
        </w:tc>
      </w:tr>
      <w:tr w:rsidR="00EA03D4">
        <w:tc>
          <w:tcPr>
            <w:tcW w:w="3369" w:type="dxa"/>
          </w:tcPr>
          <w:p w:rsidR="00EA03D4" w:rsidRDefault="00CB10F1">
            <w:pPr>
              <w:snapToGrid w:val="0"/>
              <w:spacing w:line="336" w:lineRule="auto"/>
              <w:rPr>
                <w:rFonts w:asciiTheme="minorEastAsia" w:hAnsiTheme="minorEastAsia" w:cs="宋体"/>
                <w:sz w:val="24"/>
                <w:szCs w:val="24"/>
              </w:rPr>
            </w:pPr>
            <w:r>
              <w:rPr>
                <w:rFonts w:asciiTheme="minorEastAsia" w:hAnsiTheme="minorEastAsia" w:cs="宋体" w:hint="eastAsia"/>
                <w:sz w:val="24"/>
                <w:szCs w:val="24"/>
              </w:rPr>
              <w:lastRenderedPageBreak/>
              <w:t>安徽铜峰世贸进出口有限公司</w:t>
            </w:r>
          </w:p>
        </w:tc>
        <w:tc>
          <w:tcPr>
            <w:tcW w:w="2693" w:type="dxa"/>
          </w:tcPr>
          <w:p w:rsidR="00EA03D4" w:rsidRDefault="00CB10F1">
            <w:pPr>
              <w:snapToGrid w:val="0"/>
              <w:spacing w:line="336" w:lineRule="auto"/>
              <w:jc w:val="right"/>
              <w:rPr>
                <w:rFonts w:asciiTheme="minorEastAsia" w:hAnsiTheme="minorEastAsia" w:cs="宋体"/>
                <w:sz w:val="24"/>
              </w:rPr>
            </w:pPr>
            <w:r>
              <w:rPr>
                <w:rFonts w:asciiTheme="minorEastAsia" w:hAnsiTheme="minorEastAsia" w:cs="宋体" w:hint="eastAsia"/>
                <w:sz w:val="24"/>
              </w:rPr>
              <w:t>17,000</w:t>
            </w:r>
          </w:p>
        </w:tc>
        <w:tc>
          <w:tcPr>
            <w:tcW w:w="2551" w:type="dxa"/>
          </w:tcPr>
          <w:p w:rsidR="00EA03D4" w:rsidRDefault="00CB10F1">
            <w:pPr>
              <w:snapToGrid w:val="0"/>
              <w:spacing w:line="336" w:lineRule="auto"/>
              <w:jc w:val="center"/>
              <w:rPr>
                <w:rFonts w:asciiTheme="minorEastAsia" w:hAnsiTheme="minorEastAsia" w:cs="宋体"/>
                <w:sz w:val="24"/>
                <w:szCs w:val="24"/>
              </w:rPr>
            </w:pPr>
            <w:r>
              <w:rPr>
                <w:rFonts w:asciiTheme="minorEastAsia" w:hAnsiTheme="minorEastAsia" w:cs="宋体" w:hint="eastAsia"/>
                <w:sz w:val="24"/>
                <w:szCs w:val="24"/>
              </w:rPr>
              <w:t>100</w:t>
            </w:r>
          </w:p>
        </w:tc>
      </w:tr>
      <w:tr w:rsidR="00EA03D4">
        <w:tc>
          <w:tcPr>
            <w:tcW w:w="3369" w:type="dxa"/>
          </w:tcPr>
          <w:p w:rsidR="00EA03D4" w:rsidRDefault="00CB10F1">
            <w:pPr>
              <w:snapToGrid w:val="0"/>
              <w:spacing w:line="336" w:lineRule="auto"/>
              <w:rPr>
                <w:rFonts w:asciiTheme="minorEastAsia" w:hAnsiTheme="minorEastAsia" w:cs="宋体"/>
                <w:sz w:val="24"/>
                <w:szCs w:val="24"/>
              </w:rPr>
            </w:pPr>
            <w:r>
              <w:rPr>
                <w:rFonts w:asciiTheme="minorEastAsia" w:hAnsiTheme="minorEastAsia" w:cs="宋体" w:hint="eastAsia"/>
                <w:sz w:val="24"/>
                <w:szCs w:val="24"/>
              </w:rPr>
              <w:t>安徽铜爱电子材料有限公司</w:t>
            </w:r>
          </w:p>
        </w:tc>
        <w:tc>
          <w:tcPr>
            <w:tcW w:w="2693" w:type="dxa"/>
          </w:tcPr>
          <w:p w:rsidR="00EA03D4" w:rsidRDefault="00CB10F1">
            <w:pPr>
              <w:snapToGrid w:val="0"/>
              <w:spacing w:line="336" w:lineRule="auto"/>
              <w:jc w:val="right"/>
              <w:rPr>
                <w:rFonts w:asciiTheme="minorEastAsia" w:hAnsiTheme="minorEastAsia" w:cs="宋体"/>
                <w:sz w:val="24"/>
              </w:rPr>
            </w:pPr>
            <w:r>
              <w:rPr>
                <w:rFonts w:asciiTheme="minorEastAsia" w:hAnsiTheme="minorEastAsia" w:cs="宋体" w:hint="eastAsia"/>
                <w:sz w:val="24"/>
              </w:rPr>
              <w:t>3,000</w:t>
            </w:r>
          </w:p>
        </w:tc>
        <w:tc>
          <w:tcPr>
            <w:tcW w:w="2551" w:type="dxa"/>
          </w:tcPr>
          <w:p w:rsidR="00EA03D4" w:rsidRDefault="00CB10F1">
            <w:pPr>
              <w:snapToGrid w:val="0"/>
              <w:spacing w:line="336" w:lineRule="auto"/>
              <w:jc w:val="center"/>
              <w:rPr>
                <w:rFonts w:asciiTheme="minorEastAsia" w:hAnsiTheme="minorEastAsia" w:cs="宋体"/>
                <w:sz w:val="24"/>
                <w:szCs w:val="24"/>
              </w:rPr>
            </w:pPr>
            <w:r>
              <w:rPr>
                <w:rFonts w:asciiTheme="minorEastAsia" w:hAnsiTheme="minorEastAsia" w:cs="宋体" w:hint="eastAsia"/>
                <w:sz w:val="24"/>
                <w:szCs w:val="24"/>
              </w:rPr>
              <w:t>75</w:t>
            </w:r>
          </w:p>
        </w:tc>
      </w:tr>
      <w:tr w:rsidR="00EA03D4">
        <w:tc>
          <w:tcPr>
            <w:tcW w:w="3369" w:type="dxa"/>
          </w:tcPr>
          <w:p w:rsidR="00EA03D4" w:rsidRDefault="00CB10F1">
            <w:pPr>
              <w:adjustRightInd w:val="0"/>
              <w:snapToGrid w:val="0"/>
              <w:spacing w:line="336" w:lineRule="auto"/>
              <w:rPr>
                <w:rFonts w:ascii="宋体" w:hAnsi="宋体"/>
                <w:sz w:val="24"/>
              </w:rPr>
            </w:pPr>
            <w:r>
              <w:rPr>
                <w:rFonts w:ascii="宋体" w:hAnsi="宋体" w:hint="eastAsia"/>
                <w:sz w:val="24"/>
              </w:rPr>
              <w:t>合计</w:t>
            </w:r>
          </w:p>
        </w:tc>
        <w:tc>
          <w:tcPr>
            <w:tcW w:w="2693" w:type="dxa"/>
          </w:tcPr>
          <w:p w:rsidR="00EA03D4" w:rsidRDefault="00CB10F1">
            <w:pPr>
              <w:snapToGrid w:val="0"/>
              <w:spacing w:line="336" w:lineRule="auto"/>
              <w:jc w:val="right"/>
              <w:rPr>
                <w:rFonts w:asciiTheme="minorEastAsia" w:hAnsiTheme="minorEastAsia" w:cs="宋体"/>
                <w:sz w:val="24"/>
              </w:rPr>
            </w:pPr>
            <w:r>
              <w:rPr>
                <w:rFonts w:asciiTheme="minorEastAsia" w:hAnsiTheme="minorEastAsia" w:cs="宋体" w:hint="eastAsia"/>
                <w:sz w:val="24"/>
              </w:rPr>
              <w:t>20,000</w:t>
            </w:r>
          </w:p>
        </w:tc>
        <w:tc>
          <w:tcPr>
            <w:tcW w:w="2551" w:type="dxa"/>
          </w:tcPr>
          <w:p w:rsidR="00EA03D4" w:rsidRDefault="00CB10F1">
            <w:pPr>
              <w:adjustRightInd w:val="0"/>
              <w:snapToGrid w:val="0"/>
              <w:spacing w:line="336" w:lineRule="auto"/>
              <w:jc w:val="center"/>
              <w:rPr>
                <w:rFonts w:ascii="宋体" w:hAnsi="宋体"/>
                <w:sz w:val="24"/>
              </w:rPr>
            </w:pPr>
            <w:r>
              <w:rPr>
                <w:rFonts w:ascii="宋体" w:hAnsi="宋体" w:hint="eastAsia"/>
                <w:sz w:val="24"/>
              </w:rPr>
              <w:t>/</w:t>
            </w:r>
          </w:p>
        </w:tc>
      </w:tr>
    </w:tbl>
    <w:p w:rsidR="00EA03D4" w:rsidRDefault="00CB10F1">
      <w:pPr>
        <w:adjustRightInd w:val="0"/>
        <w:snapToGrid w:val="0"/>
        <w:spacing w:line="336" w:lineRule="auto"/>
        <w:ind w:firstLineChars="200" w:firstLine="480"/>
        <w:rPr>
          <w:rFonts w:asciiTheme="minorEastAsia" w:hAnsiTheme="minorEastAsia" w:cs="宋体"/>
          <w:sz w:val="24"/>
          <w:szCs w:val="24"/>
        </w:rPr>
      </w:pPr>
      <w:r>
        <w:rPr>
          <w:rFonts w:ascii="宋体" w:hAnsi="宋体" w:hint="eastAsia"/>
          <w:sz w:val="24"/>
        </w:rPr>
        <w:t>以上担保事项经本公司董事会审议通过后，对</w:t>
      </w:r>
      <w:r>
        <w:rPr>
          <w:rFonts w:asciiTheme="minorEastAsia" w:hAnsiTheme="minorEastAsia" w:cs="宋体" w:hint="eastAsia"/>
          <w:sz w:val="24"/>
          <w:szCs w:val="24"/>
        </w:rPr>
        <w:t>授权期内发生的，在前述担保额度范围内的各项担保事项将不再另行提交董事会审议，由公司董事长对前述额度范围内发生的相关担保事项进行签批及签署相关担保文件。</w:t>
      </w:r>
      <w:r>
        <w:rPr>
          <w:rFonts w:ascii="宋体" w:hAnsi="宋体" w:hint="eastAsia"/>
          <w:sz w:val="24"/>
        </w:rPr>
        <w:t>公司本年度对子公司担保总额将不超过本次授予的担保额度，且单笔担保额最大不得超过公司最近一期经审计净资产10%。在年度预计总额未突破的前提下，公司可根据实际需要，对上述被担保单位的担保额度在公司的担保总额内调剂使用。</w:t>
      </w:r>
      <w:r>
        <w:rPr>
          <w:rFonts w:asciiTheme="minorEastAsia" w:hAnsiTheme="minorEastAsia" w:cs="宋体" w:hint="eastAsia"/>
          <w:sz w:val="24"/>
          <w:szCs w:val="24"/>
        </w:rPr>
        <w:t>本次授权担保有效期为董事会通过之日起一年内。</w:t>
      </w:r>
    </w:p>
    <w:p w:rsidR="00EA03D4" w:rsidRDefault="00CB10F1">
      <w:pPr>
        <w:adjustRightInd w:val="0"/>
        <w:snapToGrid w:val="0"/>
        <w:spacing w:line="336" w:lineRule="auto"/>
        <w:ind w:firstLineChars="200" w:firstLine="482"/>
        <w:jc w:val="left"/>
        <w:rPr>
          <w:rFonts w:asciiTheme="minorEastAsia" w:hAnsiTheme="minorEastAsia" w:cs="宋体"/>
          <w:b/>
          <w:bCs/>
          <w:sz w:val="24"/>
          <w:szCs w:val="24"/>
        </w:rPr>
      </w:pPr>
      <w:r>
        <w:rPr>
          <w:rFonts w:asciiTheme="minorEastAsia" w:hAnsiTheme="minorEastAsia" w:cs="宋体" w:hint="eastAsia"/>
          <w:b/>
          <w:bCs/>
          <w:sz w:val="24"/>
          <w:szCs w:val="24"/>
        </w:rPr>
        <w:t>（二）担保事项履行的决策程序</w:t>
      </w:r>
    </w:p>
    <w:p w:rsidR="00EA03D4" w:rsidRDefault="00CB10F1">
      <w:pPr>
        <w:adjustRightInd w:val="0"/>
        <w:snapToGrid w:val="0"/>
        <w:spacing w:line="336" w:lineRule="auto"/>
        <w:ind w:firstLineChars="200" w:firstLine="480"/>
        <w:jc w:val="left"/>
        <w:rPr>
          <w:rFonts w:ascii="宋体" w:hAnsi="宋体"/>
          <w:sz w:val="24"/>
        </w:rPr>
      </w:pPr>
      <w:r>
        <w:rPr>
          <w:rFonts w:asciiTheme="minorEastAsia" w:hAnsiTheme="minorEastAsia" w:cs="宋体" w:hint="eastAsia"/>
          <w:color w:val="000000" w:themeColor="text1"/>
          <w:sz w:val="24"/>
          <w:szCs w:val="24"/>
        </w:rPr>
        <w:t>2024年3月16日，公司召开第十届董事会第二次会议，会议以7票</w:t>
      </w:r>
      <w:r w:rsidR="00803DC4">
        <w:rPr>
          <w:rFonts w:asciiTheme="minorEastAsia" w:hAnsiTheme="minorEastAsia" w:cs="宋体" w:hint="eastAsia"/>
          <w:color w:val="000000" w:themeColor="text1"/>
          <w:sz w:val="24"/>
          <w:szCs w:val="24"/>
        </w:rPr>
        <w:t>同意</w:t>
      </w:r>
      <w:r>
        <w:rPr>
          <w:rFonts w:asciiTheme="minorEastAsia" w:hAnsiTheme="minorEastAsia" w:cs="宋体" w:hint="eastAsia"/>
          <w:color w:val="000000" w:themeColor="text1"/>
          <w:sz w:val="24"/>
          <w:szCs w:val="24"/>
        </w:rPr>
        <w:t>、0票反对、0票弃权，审议通过了《关于预计2024年为全资</w:t>
      </w:r>
      <w:r>
        <w:rPr>
          <w:rFonts w:asciiTheme="minorEastAsia" w:hAnsiTheme="minorEastAsia" w:cs="宋体" w:hint="eastAsia"/>
          <w:sz w:val="24"/>
          <w:szCs w:val="24"/>
        </w:rPr>
        <w:t>及控股子公司提供担保额度的议案》。根据《公司章程》相关规定，本次对外提供担保不超过董事会审批权限，无</w:t>
      </w:r>
      <w:r>
        <w:rPr>
          <w:rFonts w:ascii="宋体" w:hAnsi="宋体" w:hint="eastAsia"/>
          <w:sz w:val="24"/>
        </w:rPr>
        <w:t>须提交公司股东大会批准。</w:t>
      </w:r>
    </w:p>
    <w:p w:rsidR="00EA03D4" w:rsidRDefault="00CB10F1">
      <w:pPr>
        <w:adjustRightInd w:val="0"/>
        <w:snapToGrid w:val="0"/>
        <w:spacing w:line="336" w:lineRule="auto"/>
        <w:ind w:firstLineChars="200" w:firstLine="482"/>
        <w:rPr>
          <w:rFonts w:asciiTheme="minorEastAsia" w:hAnsiTheme="minorEastAsia" w:cs="宋体"/>
          <w:b/>
          <w:bCs/>
          <w:sz w:val="24"/>
          <w:szCs w:val="24"/>
        </w:rPr>
      </w:pPr>
      <w:r>
        <w:rPr>
          <w:rFonts w:asciiTheme="minorEastAsia" w:hAnsiTheme="minorEastAsia" w:cs="宋体" w:hint="eastAsia"/>
          <w:b/>
          <w:bCs/>
          <w:sz w:val="24"/>
          <w:szCs w:val="24"/>
        </w:rPr>
        <w:t>（三）担保预计基本情况</w:t>
      </w:r>
    </w:p>
    <w:tbl>
      <w:tblPr>
        <w:tblStyle w:val="a8"/>
        <w:tblW w:w="8677" w:type="dxa"/>
        <w:tblLayout w:type="fixed"/>
        <w:tblLook w:val="04A0" w:firstRow="1" w:lastRow="0" w:firstColumn="1" w:lastColumn="0" w:noHBand="0" w:noVBand="1"/>
      </w:tblPr>
      <w:tblGrid>
        <w:gridCol w:w="805"/>
        <w:gridCol w:w="828"/>
        <w:gridCol w:w="864"/>
        <w:gridCol w:w="984"/>
        <w:gridCol w:w="996"/>
        <w:gridCol w:w="900"/>
        <w:gridCol w:w="1008"/>
        <w:gridCol w:w="816"/>
        <w:gridCol w:w="756"/>
        <w:gridCol w:w="720"/>
      </w:tblGrid>
      <w:tr w:rsidR="00EA03D4">
        <w:tc>
          <w:tcPr>
            <w:tcW w:w="805" w:type="dxa"/>
            <w:vAlign w:val="center"/>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担保方</w:t>
            </w:r>
          </w:p>
        </w:tc>
        <w:tc>
          <w:tcPr>
            <w:tcW w:w="828" w:type="dxa"/>
            <w:vAlign w:val="center"/>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被担保方</w:t>
            </w:r>
          </w:p>
        </w:tc>
        <w:tc>
          <w:tcPr>
            <w:tcW w:w="864" w:type="dxa"/>
            <w:vAlign w:val="center"/>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担保方</w:t>
            </w:r>
            <w:r>
              <w:rPr>
                <w:rFonts w:asciiTheme="minorEastAsia" w:hAnsiTheme="minorEastAsia" w:cs="宋体"/>
                <w:sz w:val="24"/>
                <w:szCs w:val="24"/>
              </w:rPr>
              <w:t>持股比例</w:t>
            </w:r>
          </w:p>
        </w:tc>
        <w:tc>
          <w:tcPr>
            <w:tcW w:w="984" w:type="dxa"/>
            <w:vAlign w:val="center"/>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被担保方</w:t>
            </w:r>
            <w:r>
              <w:rPr>
                <w:rFonts w:asciiTheme="minorEastAsia" w:hAnsiTheme="minorEastAsia" w:cs="宋体"/>
                <w:sz w:val="24"/>
                <w:szCs w:val="24"/>
              </w:rPr>
              <w:t>最近一期资产负债率</w:t>
            </w:r>
          </w:p>
        </w:tc>
        <w:tc>
          <w:tcPr>
            <w:tcW w:w="996" w:type="dxa"/>
            <w:vAlign w:val="center"/>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截至</w:t>
            </w:r>
            <w:r>
              <w:rPr>
                <w:rFonts w:asciiTheme="minorEastAsia" w:hAnsiTheme="minorEastAsia" w:cs="宋体"/>
                <w:sz w:val="24"/>
                <w:szCs w:val="24"/>
              </w:rPr>
              <w:t>目前</w:t>
            </w:r>
            <w:r>
              <w:rPr>
                <w:rFonts w:asciiTheme="minorEastAsia" w:hAnsiTheme="minorEastAsia" w:cs="宋体" w:hint="eastAsia"/>
                <w:sz w:val="24"/>
                <w:szCs w:val="24"/>
              </w:rPr>
              <w:t>担保</w:t>
            </w:r>
            <w:r>
              <w:rPr>
                <w:rFonts w:asciiTheme="minorEastAsia" w:hAnsiTheme="minorEastAsia" w:cs="宋体"/>
                <w:sz w:val="24"/>
                <w:szCs w:val="24"/>
              </w:rPr>
              <w:t>余额</w:t>
            </w:r>
          </w:p>
        </w:tc>
        <w:tc>
          <w:tcPr>
            <w:tcW w:w="900" w:type="dxa"/>
            <w:vAlign w:val="center"/>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本次</w:t>
            </w:r>
            <w:r>
              <w:rPr>
                <w:rFonts w:asciiTheme="minorEastAsia" w:hAnsiTheme="minorEastAsia" w:cs="宋体"/>
                <w:sz w:val="24"/>
                <w:szCs w:val="24"/>
              </w:rPr>
              <w:t>新增担保额度</w:t>
            </w:r>
          </w:p>
        </w:tc>
        <w:tc>
          <w:tcPr>
            <w:tcW w:w="1008" w:type="dxa"/>
            <w:vAlign w:val="center"/>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担保</w:t>
            </w:r>
            <w:r>
              <w:rPr>
                <w:rFonts w:asciiTheme="minorEastAsia" w:hAnsiTheme="minorEastAsia" w:cs="宋体"/>
                <w:sz w:val="24"/>
                <w:szCs w:val="24"/>
              </w:rPr>
              <w:t>额度占上市公司最近一期净资产比例</w:t>
            </w:r>
          </w:p>
        </w:tc>
        <w:tc>
          <w:tcPr>
            <w:tcW w:w="816" w:type="dxa"/>
            <w:vAlign w:val="center"/>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担保预计有效期</w:t>
            </w:r>
          </w:p>
        </w:tc>
        <w:tc>
          <w:tcPr>
            <w:tcW w:w="756" w:type="dxa"/>
            <w:vAlign w:val="center"/>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是否</w:t>
            </w:r>
            <w:r>
              <w:rPr>
                <w:rFonts w:asciiTheme="minorEastAsia" w:hAnsiTheme="minorEastAsia" w:cs="宋体"/>
                <w:sz w:val="24"/>
                <w:szCs w:val="24"/>
              </w:rPr>
              <w:t>关联担保</w:t>
            </w:r>
          </w:p>
        </w:tc>
        <w:tc>
          <w:tcPr>
            <w:tcW w:w="720" w:type="dxa"/>
            <w:vAlign w:val="center"/>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是否有</w:t>
            </w:r>
            <w:r>
              <w:rPr>
                <w:rFonts w:asciiTheme="minorEastAsia" w:hAnsiTheme="minorEastAsia" w:cs="宋体"/>
                <w:sz w:val="24"/>
                <w:szCs w:val="24"/>
              </w:rPr>
              <w:t>反担保</w:t>
            </w:r>
          </w:p>
        </w:tc>
      </w:tr>
      <w:tr w:rsidR="00EA03D4">
        <w:tc>
          <w:tcPr>
            <w:tcW w:w="8677" w:type="dxa"/>
            <w:gridSpan w:val="10"/>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一、对控股子公司的担保预计</w:t>
            </w:r>
          </w:p>
        </w:tc>
      </w:tr>
      <w:tr w:rsidR="00EA03D4">
        <w:tc>
          <w:tcPr>
            <w:tcW w:w="8677" w:type="dxa"/>
            <w:gridSpan w:val="10"/>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1</w:t>
            </w:r>
            <w:r>
              <w:rPr>
                <w:rFonts w:asciiTheme="minorEastAsia" w:hAnsiTheme="minorEastAsia" w:cs="宋体"/>
                <w:sz w:val="24"/>
                <w:szCs w:val="24"/>
              </w:rPr>
              <w:t>.</w:t>
            </w:r>
            <w:r>
              <w:rPr>
                <w:rFonts w:asciiTheme="minorEastAsia" w:hAnsiTheme="minorEastAsia" w:cs="宋体" w:hint="eastAsia"/>
                <w:sz w:val="24"/>
                <w:szCs w:val="24"/>
              </w:rPr>
              <w:t>资产负债率为</w:t>
            </w:r>
            <w:r>
              <w:rPr>
                <w:rFonts w:asciiTheme="minorEastAsia" w:hAnsiTheme="minorEastAsia" w:cs="宋体"/>
                <w:sz w:val="24"/>
                <w:szCs w:val="24"/>
              </w:rPr>
              <w:t>70%</w:t>
            </w:r>
            <w:r>
              <w:rPr>
                <w:rFonts w:asciiTheme="minorEastAsia" w:hAnsiTheme="minorEastAsia" w:cs="宋体" w:hint="eastAsia"/>
                <w:sz w:val="24"/>
                <w:szCs w:val="24"/>
              </w:rPr>
              <w:t>以上的控股子公司</w:t>
            </w:r>
          </w:p>
        </w:tc>
      </w:tr>
      <w:tr w:rsidR="00EA03D4">
        <w:tc>
          <w:tcPr>
            <w:tcW w:w="805" w:type="dxa"/>
          </w:tcPr>
          <w:p w:rsidR="00EA03D4" w:rsidRDefault="00EA03D4">
            <w:pPr>
              <w:adjustRightInd w:val="0"/>
              <w:snapToGrid w:val="0"/>
              <w:spacing w:line="336" w:lineRule="auto"/>
              <w:rPr>
                <w:rFonts w:asciiTheme="minorEastAsia" w:hAnsiTheme="minorEastAsia" w:cs="宋体"/>
                <w:sz w:val="24"/>
                <w:szCs w:val="24"/>
              </w:rPr>
            </w:pPr>
          </w:p>
        </w:tc>
        <w:tc>
          <w:tcPr>
            <w:tcW w:w="828" w:type="dxa"/>
          </w:tcPr>
          <w:p w:rsidR="00EA03D4" w:rsidRDefault="00EA03D4">
            <w:pPr>
              <w:adjustRightInd w:val="0"/>
              <w:snapToGrid w:val="0"/>
              <w:spacing w:line="336" w:lineRule="auto"/>
              <w:rPr>
                <w:rFonts w:asciiTheme="minorEastAsia" w:hAnsiTheme="minorEastAsia" w:cs="宋体"/>
                <w:sz w:val="24"/>
                <w:szCs w:val="24"/>
              </w:rPr>
            </w:pPr>
          </w:p>
        </w:tc>
        <w:tc>
          <w:tcPr>
            <w:tcW w:w="864" w:type="dxa"/>
          </w:tcPr>
          <w:p w:rsidR="00EA03D4" w:rsidRDefault="00EA03D4">
            <w:pPr>
              <w:adjustRightInd w:val="0"/>
              <w:snapToGrid w:val="0"/>
              <w:spacing w:line="336" w:lineRule="auto"/>
              <w:rPr>
                <w:rFonts w:asciiTheme="minorEastAsia" w:hAnsiTheme="minorEastAsia" w:cs="宋体"/>
                <w:sz w:val="24"/>
                <w:szCs w:val="24"/>
              </w:rPr>
            </w:pPr>
          </w:p>
        </w:tc>
        <w:tc>
          <w:tcPr>
            <w:tcW w:w="984" w:type="dxa"/>
          </w:tcPr>
          <w:p w:rsidR="00EA03D4" w:rsidRDefault="00EA03D4">
            <w:pPr>
              <w:adjustRightInd w:val="0"/>
              <w:snapToGrid w:val="0"/>
              <w:spacing w:line="336" w:lineRule="auto"/>
              <w:rPr>
                <w:rFonts w:asciiTheme="minorEastAsia" w:hAnsiTheme="minorEastAsia" w:cs="宋体"/>
                <w:sz w:val="24"/>
                <w:szCs w:val="24"/>
              </w:rPr>
            </w:pPr>
          </w:p>
        </w:tc>
        <w:tc>
          <w:tcPr>
            <w:tcW w:w="996" w:type="dxa"/>
          </w:tcPr>
          <w:p w:rsidR="00EA03D4" w:rsidRDefault="00EA03D4">
            <w:pPr>
              <w:adjustRightInd w:val="0"/>
              <w:snapToGrid w:val="0"/>
              <w:spacing w:line="336" w:lineRule="auto"/>
              <w:rPr>
                <w:rFonts w:asciiTheme="minorEastAsia" w:hAnsiTheme="minorEastAsia" w:cs="宋体"/>
                <w:sz w:val="24"/>
                <w:szCs w:val="24"/>
              </w:rPr>
            </w:pPr>
          </w:p>
        </w:tc>
        <w:tc>
          <w:tcPr>
            <w:tcW w:w="900" w:type="dxa"/>
          </w:tcPr>
          <w:p w:rsidR="00EA03D4" w:rsidRDefault="00EA03D4">
            <w:pPr>
              <w:adjustRightInd w:val="0"/>
              <w:snapToGrid w:val="0"/>
              <w:spacing w:line="336" w:lineRule="auto"/>
              <w:rPr>
                <w:rFonts w:asciiTheme="minorEastAsia" w:hAnsiTheme="minorEastAsia" w:cs="宋体"/>
                <w:sz w:val="24"/>
                <w:szCs w:val="24"/>
              </w:rPr>
            </w:pPr>
          </w:p>
        </w:tc>
        <w:tc>
          <w:tcPr>
            <w:tcW w:w="1008" w:type="dxa"/>
          </w:tcPr>
          <w:p w:rsidR="00EA03D4" w:rsidRDefault="00EA03D4">
            <w:pPr>
              <w:adjustRightInd w:val="0"/>
              <w:snapToGrid w:val="0"/>
              <w:spacing w:line="336" w:lineRule="auto"/>
              <w:rPr>
                <w:rFonts w:asciiTheme="minorEastAsia" w:hAnsiTheme="minorEastAsia" w:cs="宋体"/>
                <w:sz w:val="24"/>
                <w:szCs w:val="24"/>
              </w:rPr>
            </w:pPr>
          </w:p>
        </w:tc>
        <w:tc>
          <w:tcPr>
            <w:tcW w:w="816" w:type="dxa"/>
          </w:tcPr>
          <w:p w:rsidR="00EA03D4" w:rsidRDefault="00EA03D4">
            <w:pPr>
              <w:adjustRightInd w:val="0"/>
              <w:snapToGrid w:val="0"/>
              <w:spacing w:line="336" w:lineRule="auto"/>
              <w:rPr>
                <w:rFonts w:asciiTheme="minorEastAsia" w:hAnsiTheme="minorEastAsia" w:cs="宋体"/>
                <w:sz w:val="24"/>
                <w:szCs w:val="24"/>
              </w:rPr>
            </w:pPr>
          </w:p>
        </w:tc>
        <w:tc>
          <w:tcPr>
            <w:tcW w:w="756" w:type="dxa"/>
          </w:tcPr>
          <w:p w:rsidR="00EA03D4" w:rsidRDefault="00EA03D4">
            <w:pPr>
              <w:adjustRightInd w:val="0"/>
              <w:snapToGrid w:val="0"/>
              <w:spacing w:line="336" w:lineRule="auto"/>
              <w:rPr>
                <w:rFonts w:asciiTheme="minorEastAsia" w:hAnsiTheme="minorEastAsia" w:cs="宋体"/>
                <w:sz w:val="24"/>
                <w:szCs w:val="24"/>
              </w:rPr>
            </w:pPr>
          </w:p>
        </w:tc>
        <w:tc>
          <w:tcPr>
            <w:tcW w:w="720" w:type="dxa"/>
          </w:tcPr>
          <w:p w:rsidR="00EA03D4" w:rsidRDefault="00EA03D4">
            <w:pPr>
              <w:adjustRightInd w:val="0"/>
              <w:snapToGrid w:val="0"/>
              <w:spacing w:line="336" w:lineRule="auto"/>
              <w:rPr>
                <w:rFonts w:asciiTheme="minorEastAsia" w:hAnsiTheme="minorEastAsia" w:cs="宋体"/>
                <w:sz w:val="24"/>
                <w:szCs w:val="24"/>
              </w:rPr>
            </w:pPr>
          </w:p>
        </w:tc>
      </w:tr>
      <w:tr w:rsidR="00EA03D4">
        <w:tc>
          <w:tcPr>
            <w:tcW w:w="8677" w:type="dxa"/>
            <w:gridSpan w:val="10"/>
          </w:tcPr>
          <w:p w:rsidR="00EA03D4" w:rsidRDefault="00CB10F1">
            <w:pPr>
              <w:adjustRightInd w:val="0"/>
              <w:snapToGrid w:val="0"/>
              <w:spacing w:line="336" w:lineRule="auto"/>
              <w:rPr>
                <w:rFonts w:asciiTheme="minorEastAsia" w:hAnsiTheme="minorEastAsia" w:cs="宋体"/>
                <w:sz w:val="24"/>
                <w:szCs w:val="24"/>
              </w:rPr>
            </w:pPr>
            <w:r>
              <w:rPr>
                <w:rFonts w:asciiTheme="minorEastAsia" w:hAnsiTheme="minorEastAsia" w:cs="宋体" w:hint="eastAsia"/>
                <w:sz w:val="24"/>
                <w:szCs w:val="24"/>
              </w:rPr>
              <w:t>2</w:t>
            </w:r>
            <w:r>
              <w:rPr>
                <w:rFonts w:asciiTheme="minorEastAsia" w:hAnsiTheme="minorEastAsia" w:cs="宋体"/>
                <w:sz w:val="24"/>
                <w:szCs w:val="24"/>
              </w:rPr>
              <w:t>.</w:t>
            </w:r>
            <w:r>
              <w:rPr>
                <w:rFonts w:asciiTheme="minorEastAsia" w:hAnsiTheme="minorEastAsia" w:cs="宋体" w:hint="eastAsia"/>
                <w:sz w:val="24"/>
                <w:szCs w:val="24"/>
              </w:rPr>
              <w:t>资产负债率为7</w:t>
            </w:r>
            <w:r>
              <w:rPr>
                <w:rFonts w:asciiTheme="minorEastAsia" w:hAnsiTheme="minorEastAsia" w:cs="宋体"/>
                <w:sz w:val="24"/>
                <w:szCs w:val="24"/>
              </w:rPr>
              <w:t>0%</w:t>
            </w:r>
            <w:r>
              <w:rPr>
                <w:rFonts w:asciiTheme="minorEastAsia" w:hAnsiTheme="minorEastAsia" w:cs="宋体" w:hint="eastAsia"/>
                <w:sz w:val="24"/>
                <w:szCs w:val="24"/>
              </w:rPr>
              <w:t>以下的控股子公司</w:t>
            </w:r>
          </w:p>
        </w:tc>
      </w:tr>
      <w:tr w:rsidR="00EA03D4">
        <w:tc>
          <w:tcPr>
            <w:tcW w:w="805" w:type="dxa"/>
          </w:tcPr>
          <w:p w:rsidR="00EA03D4" w:rsidRPr="003E22CF" w:rsidRDefault="00CB10F1">
            <w:pPr>
              <w:adjustRightInd w:val="0"/>
              <w:snapToGrid w:val="0"/>
              <w:spacing w:line="336" w:lineRule="auto"/>
              <w:rPr>
                <w:rFonts w:asciiTheme="minorEastAsia" w:hAnsiTheme="minorEastAsia" w:cs="宋体"/>
                <w:sz w:val="24"/>
                <w:szCs w:val="24"/>
              </w:rPr>
            </w:pPr>
            <w:r w:rsidRPr="003E22CF">
              <w:rPr>
                <w:rFonts w:asciiTheme="minorEastAsia" w:hAnsiTheme="minorEastAsia" w:cs="宋体" w:hint="eastAsia"/>
                <w:sz w:val="24"/>
                <w:szCs w:val="24"/>
              </w:rPr>
              <w:t>铜峰电子</w:t>
            </w:r>
          </w:p>
        </w:tc>
        <w:tc>
          <w:tcPr>
            <w:tcW w:w="828" w:type="dxa"/>
          </w:tcPr>
          <w:p w:rsidR="00EA03D4" w:rsidRPr="003E22CF" w:rsidRDefault="00CB10F1">
            <w:pPr>
              <w:adjustRightInd w:val="0"/>
              <w:snapToGrid w:val="0"/>
              <w:spacing w:line="336" w:lineRule="auto"/>
              <w:rPr>
                <w:rFonts w:asciiTheme="minorEastAsia" w:hAnsiTheme="minorEastAsia" w:cs="宋体"/>
                <w:sz w:val="24"/>
                <w:szCs w:val="24"/>
              </w:rPr>
            </w:pPr>
            <w:r w:rsidRPr="003E22CF">
              <w:rPr>
                <w:rFonts w:asciiTheme="minorEastAsia" w:hAnsiTheme="minorEastAsia" w:cs="宋体" w:hint="eastAsia"/>
                <w:sz w:val="24"/>
                <w:szCs w:val="24"/>
              </w:rPr>
              <w:t>铜峰世贸</w:t>
            </w:r>
          </w:p>
        </w:tc>
        <w:tc>
          <w:tcPr>
            <w:tcW w:w="864" w:type="dxa"/>
          </w:tcPr>
          <w:p w:rsidR="00EA03D4" w:rsidRPr="003E22CF" w:rsidRDefault="00CB10F1">
            <w:pPr>
              <w:adjustRightInd w:val="0"/>
              <w:snapToGrid w:val="0"/>
              <w:spacing w:line="336" w:lineRule="auto"/>
              <w:jc w:val="right"/>
              <w:rPr>
                <w:rFonts w:asciiTheme="minorEastAsia" w:hAnsiTheme="minorEastAsia" w:cs="宋体"/>
                <w:sz w:val="24"/>
                <w:szCs w:val="24"/>
              </w:rPr>
            </w:pPr>
            <w:r w:rsidRPr="003E22CF">
              <w:rPr>
                <w:rFonts w:asciiTheme="minorEastAsia" w:hAnsiTheme="minorEastAsia" w:cs="宋体" w:hint="eastAsia"/>
                <w:sz w:val="24"/>
                <w:szCs w:val="24"/>
              </w:rPr>
              <w:t>100%</w:t>
            </w:r>
          </w:p>
        </w:tc>
        <w:tc>
          <w:tcPr>
            <w:tcW w:w="984" w:type="dxa"/>
          </w:tcPr>
          <w:p w:rsidR="00EA03D4" w:rsidRPr="003E22CF" w:rsidRDefault="00CB10F1">
            <w:pPr>
              <w:adjustRightInd w:val="0"/>
              <w:snapToGrid w:val="0"/>
              <w:spacing w:line="336" w:lineRule="auto"/>
              <w:jc w:val="right"/>
              <w:rPr>
                <w:rFonts w:asciiTheme="minorEastAsia" w:hAnsiTheme="minorEastAsia" w:cs="宋体"/>
                <w:sz w:val="24"/>
                <w:szCs w:val="24"/>
              </w:rPr>
            </w:pPr>
            <w:r w:rsidRPr="003E22CF">
              <w:rPr>
                <w:rFonts w:asciiTheme="minorEastAsia" w:hAnsiTheme="minorEastAsia" w:cs="宋体" w:hint="eastAsia"/>
                <w:sz w:val="24"/>
                <w:szCs w:val="24"/>
              </w:rPr>
              <w:t>64.66%</w:t>
            </w:r>
          </w:p>
        </w:tc>
        <w:tc>
          <w:tcPr>
            <w:tcW w:w="996" w:type="dxa"/>
          </w:tcPr>
          <w:p w:rsidR="00EA03D4" w:rsidRPr="003E22CF" w:rsidRDefault="00CB10F1">
            <w:pPr>
              <w:adjustRightInd w:val="0"/>
              <w:snapToGrid w:val="0"/>
              <w:spacing w:line="336" w:lineRule="auto"/>
              <w:jc w:val="right"/>
              <w:rPr>
                <w:rFonts w:asciiTheme="minorEastAsia" w:hAnsiTheme="minorEastAsia" w:cs="宋体"/>
                <w:sz w:val="24"/>
                <w:szCs w:val="24"/>
              </w:rPr>
            </w:pPr>
            <w:r w:rsidRPr="003E22CF">
              <w:rPr>
                <w:rFonts w:asciiTheme="minorEastAsia" w:hAnsiTheme="minorEastAsia" w:cs="宋体" w:hint="eastAsia"/>
                <w:sz w:val="24"/>
                <w:szCs w:val="24"/>
              </w:rPr>
              <w:t>10,100</w:t>
            </w:r>
          </w:p>
        </w:tc>
        <w:tc>
          <w:tcPr>
            <w:tcW w:w="900" w:type="dxa"/>
          </w:tcPr>
          <w:p w:rsidR="00EA03D4" w:rsidRPr="003E22CF" w:rsidRDefault="00CB10F1">
            <w:pPr>
              <w:adjustRightInd w:val="0"/>
              <w:snapToGrid w:val="0"/>
              <w:spacing w:line="336" w:lineRule="auto"/>
              <w:jc w:val="right"/>
              <w:rPr>
                <w:rFonts w:asciiTheme="minorEastAsia" w:hAnsiTheme="minorEastAsia" w:cs="宋体"/>
                <w:sz w:val="24"/>
                <w:szCs w:val="24"/>
              </w:rPr>
            </w:pPr>
            <w:r w:rsidRPr="003E22CF">
              <w:rPr>
                <w:rFonts w:asciiTheme="minorEastAsia" w:hAnsiTheme="minorEastAsia" w:cs="宋体" w:hint="eastAsia"/>
                <w:sz w:val="24"/>
                <w:szCs w:val="24"/>
              </w:rPr>
              <w:t>6,900</w:t>
            </w:r>
          </w:p>
        </w:tc>
        <w:tc>
          <w:tcPr>
            <w:tcW w:w="1008" w:type="dxa"/>
          </w:tcPr>
          <w:p w:rsidR="00EA03D4" w:rsidRPr="003E22CF" w:rsidRDefault="00213245">
            <w:pPr>
              <w:adjustRightInd w:val="0"/>
              <w:snapToGrid w:val="0"/>
              <w:spacing w:line="336" w:lineRule="auto"/>
              <w:jc w:val="right"/>
              <w:rPr>
                <w:rFonts w:asciiTheme="minorEastAsia" w:hAnsiTheme="minorEastAsia" w:cs="宋体"/>
                <w:sz w:val="24"/>
                <w:szCs w:val="24"/>
              </w:rPr>
            </w:pPr>
            <w:r w:rsidRPr="003E22CF">
              <w:rPr>
                <w:rFonts w:asciiTheme="minorEastAsia" w:hAnsiTheme="minorEastAsia" w:cs="宋体" w:hint="eastAsia"/>
                <w:sz w:val="24"/>
                <w:szCs w:val="24"/>
              </w:rPr>
              <w:t>9.95</w:t>
            </w:r>
            <w:r w:rsidR="00CB10F1" w:rsidRPr="003E22CF">
              <w:rPr>
                <w:rFonts w:asciiTheme="minorEastAsia" w:hAnsiTheme="minorEastAsia" w:cs="宋体" w:hint="eastAsia"/>
                <w:sz w:val="24"/>
                <w:szCs w:val="24"/>
              </w:rPr>
              <w:t>%</w:t>
            </w:r>
          </w:p>
        </w:tc>
        <w:tc>
          <w:tcPr>
            <w:tcW w:w="816" w:type="dxa"/>
          </w:tcPr>
          <w:p w:rsidR="00EA03D4" w:rsidRPr="003E22CF" w:rsidRDefault="00CB10F1">
            <w:pPr>
              <w:adjustRightInd w:val="0"/>
              <w:snapToGrid w:val="0"/>
              <w:spacing w:line="336" w:lineRule="auto"/>
              <w:rPr>
                <w:rFonts w:asciiTheme="minorEastAsia" w:hAnsiTheme="minorEastAsia" w:cs="宋体"/>
                <w:sz w:val="24"/>
                <w:szCs w:val="24"/>
              </w:rPr>
            </w:pPr>
            <w:r w:rsidRPr="003E22CF">
              <w:rPr>
                <w:rFonts w:asciiTheme="minorEastAsia" w:hAnsiTheme="minorEastAsia" w:cs="宋体" w:hint="eastAsia"/>
                <w:sz w:val="24"/>
                <w:szCs w:val="24"/>
              </w:rPr>
              <w:t>三年</w:t>
            </w:r>
          </w:p>
        </w:tc>
        <w:tc>
          <w:tcPr>
            <w:tcW w:w="756" w:type="dxa"/>
          </w:tcPr>
          <w:p w:rsidR="00EA03D4" w:rsidRPr="003E22CF" w:rsidRDefault="00CB10F1">
            <w:pPr>
              <w:adjustRightInd w:val="0"/>
              <w:snapToGrid w:val="0"/>
              <w:spacing w:line="336" w:lineRule="auto"/>
              <w:jc w:val="center"/>
              <w:rPr>
                <w:rFonts w:asciiTheme="minorEastAsia" w:hAnsiTheme="minorEastAsia" w:cs="宋体"/>
                <w:sz w:val="24"/>
                <w:szCs w:val="24"/>
              </w:rPr>
            </w:pPr>
            <w:r w:rsidRPr="003E22CF">
              <w:rPr>
                <w:rFonts w:asciiTheme="minorEastAsia" w:hAnsiTheme="minorEastAsia" w:cs="宋体" w:hint="eastAsia"/>
                <w:sz w:val="24"/>
                <w:szCs w:val="24"/>
              </w:rPr>
              <w:t>否</w:t>
            </w:r>
          </w:p>
        </w:tc>
        <w:tc>
          <w:tcPr>
            <w:tcW w:w="720" w:type="dxa"/>
          </w:tcPr>
          <w:p w:rsidR="00EA03D4" w:rsidRPr="003E22CF" w:rsidRDefault="00CB10F1">
            <w:pPr>
              <w:adjustRightInd w:val="0"/>
              <w:snapToGrid w:val="0"/>
              <w:spacing w:line="336" w:lineRule="auto"/>
              <w:jc w:val="center"/>
              <w:rPr>
                <w:rFonts w:asciiTheme="minorEastAsia" w:hAnsiTheme="minorEastAsia" w:cs="宋体"/>
                <w:sz w:val="24"/>
                <w:szCs w:val="24"/>
              </w:rPr>
            </w:pPr>
            <w:r w:rsidRPr="003E22CF">
              <w:rPr>
                <w:rFonts w:asciiTheme="minorEastAsia" w:hAnsiTheme="minorEastAsia" w:cs="宋体" w:hint="eastAsia"/>
                <w:sz w:val="24"/>
                <w:szCs w:val="24"/>
              </w:rPr>
              <w:t>否</w:t>
            </w:r>
          </w:p>
        </w:tc>
      </w:tr>
      <w:tr w:rsidR="00EA03D4">
        <w:tc>
          <w:tcPr>
            <w:tcW w:w="805" w:type="dxa"/>
          </w:tcPr>
          <w:p w:rsidR="00EA03D4" w:rsidRPr="003E22CF" w:rsidRDefault="00CB10F1">
            <w:pPr>
              <w:adjustRightInd w:val="0"/>
              <w:snapToGrid w:val="0"/>
              <w:spacing w:line="336" w:lineRule="auto"/>
              <w:rPr>
                <w:rFonts w:asciiTheme="minorEastAsia" w:hAnsiTheme="minorEastAsia" w:cs="宋体"/>
                <w:sz w:val="24"/>
                <w:szCs w:val="24"/>
              </w:rPr>
            </w:pPr>
            <w:r w:rsidRPr="003E22CF">
              <w:rPr>
                <w:rFonts w:asciiTheme="minorEastAsia" w:hAnsiTheme="minorEastAsia" w:cs="宋体" w:hint="eastAsia"/>
                <w:sz w:val="24"/>
                <w:szCs w:val="24"/>
              </w:rPr>
              <w:t>铜峰电子</w:t>
            </w:r>
          </w:p>
        </w:tc>
        <w:tc>
          <w:tcPr>
            <w:tcW w:w="828" w:type="dxa"/>
          </w:tcPr>
          <w:p w:rsidR="00EA03D4" w:rsidRPr="003E22CF" w:rsidRDefault="00CB10F1">
            <w:pPr>
              <w:adjustRightInd w:val="0"/>
              <w:snapToGrid w:val="0"/>
              <w:spacing w:line="336" w:lineRule="auto"/>
              <w:rPr>
                <w:rFonts w:asciiTheme="minorEastAsia" w:hAnsiTheme="minorEastAsia" w:cs="宋体"/>
                <w:sz w:val="24"/>
                <w:szCs w:val="24"/>
              </w:rPr>
            </w:pPr>
            <w:r w:rsidRPr="003E22CF">
              <w:rPr>
                <w:rFonts w:asciiTheme="minorEastAsia" w:hAnsiTheme="minorEastAsia" w:cs="宋体" w:hint="eastAsia"/>
                <w:sz w:val="24"/>
                <w:szCs w:val="24"/>
              </w:rPr>
              <w:t>铜爱电子</w:t>
            </w:r>
          </w:p>
        </w:tc>
        <w:tc>
          <w:tcPr>
            <w:tcW w:w="864" w:type="dxa"/>
          </w:tcPr>
          <w:p w:rsidR="00EA03D4" w:rsidRPr="003E22CF" w:rsidRDefault="00CB10F1">
            <w:pPr>
              <w:adjustRightInd w:val="0"/>
              <w:snapToGrid w:val="0"/>
              <w:spacing w:line="336" w:lineRule="auto"/>
              <w:jc w:val="right"/>
              <w:rPr>
                <w:rFonts w:asciiTheme="minorEastAsia" w:hAnsiTheme="minorEastAsia" w:cs="宋体"/>
                <w:sz w:val="24"/>
                <w:szCs w:val="24"/>
              </w:rPr>
            </w:pPr>
            <w:r w:rsidRPr="003E22CF">
              <w:rPr>
                <w:rFonts w:asciiTheme="minorEastAsia" w:hAnsiTheme="minorEastAsia" w:cs="宋体" w:hint="eastAsia"/>
                <w:sz w:val="24"/>
                <w:szCs w:val="24"/>
              </w:rPr>
              <w:t>75%</w:t>
            </w:r>
          </w:p>
        </w:tc>
        <w:tc>
          <w:tcPr>
            <w:tcW w:w="984" w:type="dxa"/>
          </w:tcPr>
          <w:p w:rsidR="00EA03D4" w:rsidRPr="003E22CF" w:rsidRDefault="00CB10F1">
            <w:pPr>
              <w:adjustRightInd w:val="0"/>
              <w:snapToGrid w:val="0"/>
              <w:spacing w:line="336" w:lineRule="auto"/>
              <w:jc w:val="right"/>
              <w:rPr>
                <w:rFonts w:asciiTheme="minorEastAsia" w:hAnsiTheme="minorEastAsia" w:cs="宋体"/>
                <w:sz w:val="24"/>
                <w:szCs w:val="24"/>
              </w:rPr>
            </w:pPr>
            <w:r w:rsidRPr="003E22CF">
              <w:rPr>
                <w:rFonts w:asciiTheme="minorEastAsia" w:hAnsiTheme="minorEastAsia" w:cs="宋体" w:hint="eastAsia"/>
                <w:sz w:val="24"/>
                <w:szCs w:val="24"/>
              </w:rPr>
              <w:t>22.73%</w:t>
            </w:r>
          </w:p>
        </w:tc>
        <w:tc>
          <w:tcPr>
            <w:tcW w:w="996" w:type="dxa"/>
          </w:tcPr>
          <w:p w:rsidR="00EA03D4" w:rsidRPr="003E22CF" w:rsidRDefault="00CB10F1">
            <w:pPr>
              <w:adjustRightInd w:val="0"/>
              <w:snapToGrid w:val="0"/>
              <w:spacing w:line="336" w:lineRule="auto"/>
              <w:jc w:val="right"/>
              <w:rPr>
                <w:rFonts w:asciiTheme="minorEastAsia" w:hAnsiTheme="minorEastAsia" w:cs="宋体"/>
                <w:sz w:val="24"/>
                <w:szCs w:val="24"/>
              </w:rPr>
            </w:pPr>
            <w:r w:rsidRPr="003E22CF">
              <w:rPr>
                <w:rFonts w:asciiTheme="minorEastAsia" w:hAnsiTheme="minorEastAsia" w:cs="宋体" w:hint="eastAsia"/>
                <w:sz w:val="24"/>
                <w:szCs w:val="24"/>
              </w:rPr>
              <w:t>3,400</w:t>
            </w:r>
          </w:p>
        </w:tc>
        <w:tc>
          <w:tcPr>
            <w:tcW w:w="900" w:type="dxa"/>
          </w:tcPr>
          <w:p w:rsidR="00EA03D4" w:rsidRPr="003E22CF" w:rsidRDefault="00CB10F1">
            <w:pPr>
              <w:adjustRightInd w:val="0"/>
              <w:snapToGrid w:val="0"/>
              <w:spacing w:line="336" w:lineRule="auto"/>
              <w:jc w:val="right"/>
              <w:rPr>
                <w:rFonts w:asciiTheme="minorEastAsia" w:hAnsiTheme="minorEastAsia" w:cs="宋体"/>
                <w:sz w:val="24"/>
                <w:szCs w:val="24"/>
              </w:rPr>
            </w:pPr>
            <w:r w:rsidRPr="003E22CF">
              <w:rPr>
                <w:rFonts w:asciiTheme="minorEastAsia" w:hAnsiTheme="minorEastAsia" w:cs="宋体" w:hint="eastAsia"/>
                <w:sz w:val="24"/>
                <w:szCs w:val="24"/>
              </w:rPr>
              <w:t>-400</w:t>
            </w:r>
          </w:p>
        </w:tc>
        <w:tc>
          <w:tcPr>
            <w:tcW w:w="1008" w:type="dxa"/>
          </w:tcPr>
          <w:p w:rsidR="00EA03D4" w:rsidRPr="003E22CF" w:rsidRDefault="00CB10F1">
            <w:pPr>
              <w:adjustRightInd w:val="0"/>
              <w:snapToGrid w:val="0"/>
              <w:spacing w:line="336" w:lineRule="auto"/>
              <w:jc w:val="right"/>
              <w:rPr>
                <w:rFonts w:asciiTheme="minorEastAsia" w:hAnsiTheme="minorEastAsia" w:cs="宋体"/>
                <w:sz w:val="24"/>
                <w:szCs w:val="24"/>
              </w:rPr>
            </w:pPr>
            <w:r w:rsidRPr="003E22CF">
              <w:rPr>
                <w:rFonts w:asciiTheme="minorEastAsia" w:hAnsiTheme="minorEastAsia" w:cs="宋体" w:hint="eastAsia"/>
                <w:sz w:val="24"/>
                <w:szCs w:val="24"/>
              </w:rPr>
              <w:t>1.76%</w:t>
            </w:r>
          </w:p>
        </w:tc>
        <w:tc>
          <w:tcPr>
            <w:tcW w:w="816" w:type="dxa"/>
          </w:tcPr>
          <w:p w:rsidR="00EA03D4" w:rsidRPr="003E22CF" w:rsidRDefault="00CB10F1">
            <w:pPr>
              <w:adjustRightInd w:val="0"/>
              <w:snapToGrid w:val="0"/>
              <w:spacing w:line="336" w:lineRule="auto"/>
              <w:rPr>
                <w:rFonts w:asciiTheme="minorEastAsia" w:hAnsiTheme="minorEastAsia" w:cs="宋体"/>
                <w:sz w:val="24"/>
                <w:szCs w:val="24"/>
              </w:rPr>
            </w:pPr>
            <w:r w:rsidRPr="003E22CF">
              <w:rPr>
                <w:rFonts w:asciiTheme="minorEastAsia" w:hAnsiTheme="minorEastAsia" w:cs="宋体" w:hint="eastAsia"/>
                <w:sz w:val="24"/>
                <w:szCs w:val="24"/>
              </w:rPr>
              <w:t>三年</w:t>
            </w:r>
          </w:p>
        </w:tc>
        <w:tc>
          <w:tcPr>
            <w:tcW w:w="756" w:type="dxa"/>
          </w:tcPr>
          <w:p w:rsidR="00EA03D4" w:rsidRPr="003E22CF" w:rsidRDefault="00CB10F1">
            <w:pPr>
              <w:adjustRightInd w:val="0"/>
              <w:snapToGrid w:val="0"/>
              <w:spacing w:line="336" w:lineRule="auto"/>
              <w:jc w:val="center"/>
              <w:rPr>
                <w:rFonts w:asciiTheme="minorEastAsia" w:hAnsiTheme="minorEastAsia" w:cs="宋体"/>
                <w:sz w:val="24"/>
                <w:szCs w:val="24"/>
              </w:rPr>
            </w:pPr>
            <w:r w:rsidRPr="003E22CF">
              <w:rPr>
                <w:rFonts w:asciiTheme="minorEastAsia" w:hAnsiTheme="minorEastAsia" w:cs="宋体" w:hint="eastAsia"/>
                <w:sz w:val="24"/>
                <w:szCs w:val="24"/>
              </w:rPr>
              <w:t>否</w:t>
            </w:r>
          </w:p>
        </w:tc>
        <w:tc>
          <w:tcPr>
            <w:tcW w:w="720" w:type="dxa"/>
          </w:tcPr>
          <w:p w:rsidR="00EA03D4" w:rsidRPr="003E22CF" w:rsidRDefault="00CB10F1">
            <w:pPr>
              <w:adjustRightInd w:val="0"/>
              <w:snapToGrid w:val="0"/>
              <w:spacing w:line="336" w:lineRule="auto"/>
              <w:jc w:val="center"/>
              <w:rPr>
                <w:rFonts w:asciiTheme="minorEastAsia" w:hAnsiTheme="minorEastAsia" w:cs="宋体"/>
                <w:sz w:val="24"/>
                <w:szCs w:val="24"/>
              </w:rPr>
            </w:pPr>
            <w:r w:rsidRPr="003E22CF">
              <w:rPr>
                <w:rFonts w:asciiTheme="minorEastAsia" w:hAnsiTheme="minorEastAsia" w:cs="宋体" w:hint="eastAsia"/>
                <w:sz w:val="24"/>
                <w:szCs w:val="24"/>
              </w:rPr>
              <w:t>是</w:t>
            </w:r>
          </w:p>
        </w:tc>
      </w:tr>
    </w:tbl>
    <w:p w:rsidR="00EA03D4" w:rsidRDefault="00EA03D4">
      <w:pPr>
        <w:adjustRightInd w:val="0"/>
        <w:snapToGrid w:val="0"/>
        <w:spacing w:line="336" w:lineRule="auto"/>
        <w:ind w:firstLineChars="200" w:firstLine="560"/>
        <w:rPr>
          <w:rFonts w:ascii="黑体" w:eastAsia="黑体" w:hAnsi="宋体"/>
          <w:sz w:val="28"/>
          <w:szCs w:val="28"/>
        </w:rPr>
      </w:pPr>
    </w:p>
    <w:p w:rsidR="00EA03D4" w:rsidRDefault="00CB10F1">
      <w:pPr>
        <w:adjustRightInd w:val="0"/>
        <w:snapToGrid w:val="0"/>
        <w:spacing w:line="336" w:lineRule="auto"/>
        <w:ind w:firstLineChars="200" w:firstLine="480"/>
        <w:rPr>
          <w:rFonts w:ascii="黑体" w:eastAsia="黑体" w:hAnsi="宋体"/>
          <w:sz w:val="24"/>
          <w:szCs w:val="24"/>
        </w:rPr>
      </w:pPr>
      <w:r>
        <w:rPr>
          <w:rFonts w:ascii="黑体" w:eastAsia="黑体" w:hAnsi="宋体" w:hint="eastAsia"/>
          <w:sz w:val="24"/>
          <w:szCs w:val="24"/>
        </w:rPr>
        <w:lastRenderedPageBreak/>
        <w:t>二、被担保人基本情况</w:t>
      </w:r>
    </w:p>
    <w:p w:rsidR="00EA03D4" w:rsidRDefault="00CB10F1">
      <w:pPr>
        <w:adjustRightInd w:val="0"/>
        <w:snapToGrid w:val="0"/>
        <w:spacing w:line="336" w:lineRule="auto"/>
        <w:ind w:firstLineChars="200" w:firstLine="482"/>
        <w:rPr>
          <w:rFonts w:ascii="宋体" w:hAnsi="宋体"/>
          <w:b/>
          <w:bCs/>
          <w:kern w:val="0"/>
          <w:sz w:val="24"/>
        </w:rPr>
      </w:pPr>
      <w:r>
        <w:rPr>
          <w:rFonts w:ascii="宋体" w:hAnsi="宋体" w:hint="eastAsia"/>
          <w:b/>
          <w:bCs/>
          <w:kern w:val="0"/>
          <w:sz w:val="24"/>
        </w:rPr>
        <w:t>（一）</w:t>
      </w:r>
      <w:r>
        <w:rPr>
          <w:rFonts w:ascii="宋体" w:hAnsi="宋体" w:hint="eastAsia"/>
          <w:b/>
          <w:bCs/>
          <w:sz w:val="24"/>
        </w:rPr>
        <w:t>铜峰世贸</w:t>
      </w:r>
    </w:p>
    <w:p w:rsidR="00EA03D4" w:rsidRDefault="00CB10F1">
      <w:pPr>
        <w:widowControl/>
        <w:adjustRightInd w:val="0"/>
        <w:snapToGrid w:val="0"/>
        <w:spacing w:line="336" w:lineRule="auto"/>
        <w:ind w:firstLine="600"/>
        <w:rPr>
          <w:rFonts w:ascii="宋体" w:hAnsi="宋体" w:cs="宋体"/>
          <w:sz w:val="24"/>
          <w:szCs w:val="24"/>
        </w:rPr>
      </w:pPr>
      <w:r>
        <w:rPr>
          <w:rFonts w:ascii="宋体" w:hAnsi="宋体" w:cs="宋体" w:hint="eastAsia"/>
          <w:sz w:val="24"/>
          <w:szCs w:val="24"/>
        </w:rPr>
        <w:t>1、公司名称：安徽铜峰世贸进出口有限公司</w:t>
      </w:r>
    </w:p>
    <w:p w:rsidR="00EA03D4" w:rsidRDefault="00CB10F1">
      <w:pPr>
        <w:widowControl/>
        <w:adjustRightInd w:val="0"/>
        <w:snapToGrid w:val="0"/>
        <w:spacing w:line="336" w:lineRule="auto"/>
        <w:ind w:firstLine="600"/>
        <w:rPr>
          <w:rFonts w:ascii="宋体" w:hAnsi="宋体" w:cs="宋体"/>
          <w:sz w:val="24"/>
          <w:szCs w:val="24"/>
        </w:rPr>
      </w:pPr>
      <w:r>
        <w:rPr>
          <w:rFonts w:ascii="宋体" w:hAnsi="宋体" w:cs="宋体" w:hint="eastAsia"/>
          <w:sz w:val="24"/>
          <w:szCs w:val="24"/>
        </w:rPr>
        <w:t>2、统一社会信用代码：91340700674235201N</w:t>
      </w:r>
    </w:p>
    <w:p w:rsidR="00EA03D4" w:rsidRDefault="00CB10F1">
      <w:pPr>
        <w:widowControl/>
        <w:adjustRightInd w:val="0"/>
        <w:snapToGrid w:val="0"/>
        <w:spacing w:line="336" w:lineRule="auto"/>
        <w:ind w:firstLine="600"/>
        <w:rPr>
          <w:rFonts w:ascii="宋体" w:hAnsi="宋体" w:cs="宋体"/>
          <w:sz w:val="24"/>
          <w:szCs w:val="24"/>
        </w:rPr>
      </w:pPr>
      <w:r>
        <w:rPr>
          <w:rFonts w:ascii="宋体" w:hAnsi="宋体" w:cs="宋体" w:hint="eastAsia"/>
          <w:sz w:val="24"/>
          <w:szCs w:val="24"/>
        </w:rPr>
        <w:t xml:space="preserve">3、注册资本：10,000 万元人民币 </w:t>
      </w:r>
    </w:p>
    <w:p w:rsidR="00EA03D4" w:rsidRDefault="00CB10F1">
      <w:pPr>
        <w:widowControl/>
        <w:adjustRightInd w:val="0"/>
        <w:snapToGrid w:val="0"/>
        <w:spacing w:line="336" w:lineRule="auto"/>
        <w:ind w:firstLine="600"/>
        <w:rPr>
          <w:rFonts w:ascii="宋体" w:hAnsi="宋体" w:cs="宋体"/>
          <w:sz w:val="24"/>
          <w:szCs w:val="24"/>
        </w:rPr>
      </w:pPr>
      <w:r>
        <w:rPr>
          <w:rFonts w:ascii="宋体" w:hAnsi="宋体" w:cs="宋体" w:hint="eastAsia"/>
          <w:sz w:val="24"/>
          <w:szCs w:val="24"/>
        </w:rPr>
        <w:t xml:space="preserve">4、法定代表人：鲍俊华 </w:t>
      </w:r>
    </w:p>
    <w:p w:rsidR="00EA03D4" w:rsidRDefault="00CB10F1">
      <w:pPr>
        <w:widowControl/>
        <w:adjustRightInd w:val="0"/>
        <w:snapToGrid w:val="0"/>
        <w:spacing w:line="336" w:lineRule="auto"/>
        <w:ind w:firstLine="600"/>
        <w:rPr>
          <w:rFonts w:ascii="宋体" w:hAnsi="宋体" w:cs="宋体"/>
          <w:sz w:val="24"/>
          <w:szCs w:val="24"/>
        </w:rPr>
      </w:pPr>
      <w:r>
        <w:rPr>
          <w:rFonts w:ascii="宋体" w:hAnsi="宋体" w:cs="宋体" w:hint="eastAsia"/>
          <w:sz w:val="24"/>
          <w:szCs w:val="24"/>
        </w:rPr>
        <w:t>5、公司类型：有限责任公司（非自然人投资或控股的法人独资）</w:t>
      </w:r>
    </w:p>
    <w:p w:rsidR="00EA03D4" w:rsidRDefault="00CB10F1">
      <w:pPr>
        <w:widowControl/>
        <w:adjustRightInd w:val="0"/>
        <w:snapToGrid w:val="0"/>
        <w:spacing w:line="336" w:lineRule="auto"/>
        <w:ind w:firstLine="600"/>
        <w:rPr>
          <w:rFonts w:ascii="宋体" w:hAnsi="宋体" w:cs="宋体"/>
          <w:sz w:val="24"/>
          <w:szCs w:val="24"/>
        </w:rPr>
      </w:pPr>
      <w:r>
        <w:rPr>
          <w:rFonts w:ascii="宋体" w:hAnsi="宋体" w:cs="宋体" w:hint="eastAsia"/>
          <w:sz w:val="24"/>
          <w:szCs w:val="24"/>
        </w:rPr>
        <w:t xml:space="preserve">6、成立日期：2008年04月29日 </w:t>
      </w:r>
    </w:p>
    <w:p w:rsidR="00EA03D4" w:rsidRDefault="00CB10F1">
      <w:pPr>
        <w:adjustRightInd w:val="0"/>
        <w:snapToGrid w:val="0"/>
        <w:spacing w:line="336" w:lineRule="auto"/>
        <w:ind w:firstLineChars="200" w:firstLine="480"/>
        <w:rPr>
          <w:rFonts w:ascii="宋体" w:hAnsi="宋体"/>
          <w:kern w:val="0"/>
          <w:sz w:val="24"/>
        </w:rPr>
      </w:pPr>
      <w:r>
        <w:rPr>
          <w:rFonts w:ascii="宋体" w:hAnsi="宋体" w:cs="宋体" w:hint="eastAsia"/>
          <w:sz w:val="24"/>
          <w:szCs w:val="24"/>
        </w:rPr>
        <w:t xml:space="preserve">7、经营范围：自营和代理各类商品和技术的进出口贸易业务，电子、化工、 机械设备、汽车配件的进口、加工、补偿贸易（国家限定经营或禁止进出口商品 </w:t>
      </w:r>
      <w:r>
        <w:rPr>
          <w:rFonts w:ascii="宋体" w:hAnsi="宋体" w:hint="eastAsia"/>
          <w:kern w:val="0"/>
          <w:sz w:val="24"/>
        </w:rPr>
        <w:t>和技术除外，涉及许可证或专项审批的凭有效证明经营）</w:t>
      </w:r>
    </w:p>
    <w:p w:rsidR="00EA03D4" w:rsidRDefault="00CB10F1">
      <w:pPr>
        <w:adjustRightInd w:val="0"/>
        <w:snapToGrid w:val="0"/>
        <w:spacing w:line="336" w:lineRule="auto"/>
        <w:ind w:firstLineChars="200" w:firstLine="480"/>
        <w:rPr>
          <w:rFonts w:ascii="宋体" w:hAnsi="宋体"/>
          <w:kern w:val="0"/>
          <w:sz w:val="24"/>
        </w:rPr>
      </w:pPr>
      <w:r>
        <w:rPr>
          <w:rFonts w:ascii="宋体" w:hAnsi="宋体" w:hint="eastAsia"/>
          <w:kern w:val="0"/>
          <w:sz w:val="24"/>
        </w:rPr>
        <w:t>8、住所：安徽省铜陵市翠湖三路西段399号</w:t>
      </w:r>
    </w:p>
    <w:p w:rsidR="00EA03D4" w:rsidRDefault="00CB10F1">
      <w:pPr>
        <w:adjustRightInd w:val="0"/>
        <w:snapToGrid w:val="0"/>
        <w:spacing w:line="336" w:lineRule="auto"/>
        <w:ind w:firstLineChars="200" w:firstLine="480"/>
        <w:rPr>
          <w:rFonts w:ascii="宋体" w:hAnsi="宋体"/>
          <w:kern w:val="0"/>
          <w:sz w:val="24"/>
        </w:rPr>
      </w:pPr>
      <w:r>
        <w:rPr>
          <w:rFonts w:ascii="宋体" w:hAnsi="宋体" w:hint="eastAsia"/>
          <w:kern w:val="0"/>
          <w:sz w:val="24"/>
        </w:rPr>
        <w:t>9、与公司的关系：铜峰世贸是公司全资子公司，公司拥有该公司100%股权</w:t>
      </w:r>
    </w:p>
    <w:p w:rsidR="00EA03D4" w:rsidRDefault="00CB10F1">
      <w:pPr>
        <w:adjustRightInd w:val="0"/>
        <w:snapToGrid w:val="0"/>
        <w:spacing w:line="336" w:lineRule="auto"/>
        <w:ind w:firstLineChars="200" w:firstLine="480"/>
        <w:rPr>
          <w:rFonts w:ascii="宋体" w:hAnsi="宋体"/>
          <w:kern w:val="0"/>
          <w:sz w:val="24"/>
        </w:rPr>
      </w:pPr>
      <w:r>
        <w:rPr>
          <w:rFonts w:ascii="宋体" w:hAnsi="宋体" w:hint="eastAsia"/>
          <w:kern w:val="0"/>
          <w:sz w:val="24"/>
        </w:rPr>
        <w:t>10、被担保人主要财务指标：</w:t>
      </w:r>
    </w:p>
    <w:p w:rsidR="00EA03D4" w:rsidRPr="003E22CF" w:rsidRDefault="00CB10F1">
      <w:pPr>
        <w:adjustRightInd w:val="0"/>
        <w:snapToGrid w:val="0"/>
        <w:spacing w:line="336" w:lineRule="auto"/>
        <w:ind w:firstLineChars="200" w:firstLine="480"/>
        <w:rPr>
          <w:rFonts w:ascii="宋体" w:hAnsi="宋体"/>
          <w:sz w:val="24"/>
        </w:rPr>
      </w:pPr>
      <w:r w:rsidRPr="003E22CF">
        <w:rPr>
          <w:rFonts w:ascii="宋体" w:hAnsi="宋体" w:hint="eastAsia"/>
          <w:sz w:val="24"/>
        </w:rPr>
        <w:t>截止2023年12月31日，铜峰世贸经审计资产总额21,577.17万元，负债总额13,951.16万元，所有者权益7,626万元,该公司2023年度实现营业收入25,089.83万元，净利润144.79万元。</w:t>
      </w:r>
    </w:p>
    <w:p w:rsidR="00EA03D4" w:rsidRDefault="00CB10F1">
      <w:pPr>
        <w:adjustRightInd w:val="0"/>
        <w:snapToGrid w:val="0"/>
        <w:spacing w:line="336" w:lineRule="auto"/>
        <w:ind w:firstLineChars="200" w:firstLine="482"/>
        <w:rPr>
          <w:rFonts w:ascii="宋体" w:hAnsi="宋体"/>
          <w:b/>
          <w:bCs/>
          <w:color w:val="FF0000"/>
          <w:kern w:val="0"/>
          <w:sz w:val="24"/>
        </w:rPr>
      </w:pPr>
      <w:r>
        <w:rPr>
          <w:rFonts w:ascii="宋体" w:hAnsi="宋体" w:hint="eastAsia"/>
          <w:b/>
          <w:bCs/>
          <w:sz w:val="24"/>
        </w:rPr>
        <w:t>（二）铜爱电子</w:t>
      </w:r>
    </w:p>
    <w:p w:rsidR="00EA03D4" w:rsidRDefault="00CB10F1">
      <w:pPr>
        <w:adjustRightInd w:val="0"/>
        <w:snapToGrid w:val="0"/>
        <w:spacing w:line="336" w:lineRule="auto"/>
        <w:ind w:firstLineChars="200" w:firstLine="480"/>
        <w:rPr>
          <w:rFonts w:ascii="宋体" w:hAnsi="宋体"/>
          <w:kern w:val="0"/>
          <w:sz w:val="24"/>
        </w:rPr>
      </w:pPr>
      <w:r>
        <w:rPr>
          <w:rFonts w:ascii="宋体" w:hAnsi="宋体" w:hint="eastAsia"/>
          <w:kern w:val="0"/>
          <w:sz w:val="24"/>
        </w:rPr>
        <w:t>1、公司名称：安徽铜爱电子材料有限公司</w:t>
      </w:r>
    </w:p>
    <w:p w:rsidR="00EA03D4" w:rsidRDefault="00CB10F1">
      <w:pPr>
        <w:adjustRightInd w:val="0"/>
        <w:snapToGrid w:val="0"/>
        <w:spacing w:line="336" w:lineRule="auto"/>
        <w:ind w:firstLineChars="200" w:firstLine="480"/>
        <w:rPr>
          <w:rFonts w:ascii="宋体" w:hAnsi="宋体"/>
          <w:sz w:val="24"/>
        </w:rPr>
      </w:pPr>
      <w:r>
        <w:rPr>
          <w:rFonts w:ascii="宋体" w:hAnsi="宋体" w:hint="eastAsia"/>
          <w:kern w:val="0"/>
          <w:sz w:val="24"/>
        </w:rPr>
        <w:t>2、</w:t>
      </w:r>
      <w:r>
        <w:rPr>
          <w:rFonts w:ascii="宋体" w:hAnsi="宋体" w:cs="宋体" w:hint="eastAsia"/>
          <w:sz w:val="24"/>
          <w:szCs w:val="24"/>
        </w:rPr>
        <w:t>统一社会信用代码：9134070076901468XQ</w:t>
      </w:r>
    </w:p>
    <w:p w:rsidR="00EA03D4" w:rsidRDefault="00CB10F1">
      <w:pPr>
        <w:adjustRightInd w:val="0"/>
        <w:snapToGrid w:val="0"/>
        <w:spacing w:line="336" w:lineRule="auto"/>
        <w:ind w:firstLineChars="200" w:firstLine="480"/>
        <w:rPr>
          <w:rFonts w:ascii="宋体" w:hAnsi="宋体"/>
          <w:kern w:val="0"/>
          <w:sz w:val="24"/>
        </w:rPr>
      </w:pPr>
      <w:r>
        <w:rPr>
          <w:rFonts w:ascii="宋体" w:hAnsi="宋体" w:hint="eastAsia"/>
          <w:kern w:val="0"/>
          <w:sz w:val="24"/>
        </w:rPr>
        <w:t>3、注册资本：</w:t>
      </w:r>
      <w:r>
        <w:rPr>
          <w:rFonts w:ascii="宋体" w:hAnsi="宋体" w:hint="eastAsia"/>
          <w:sz w:val="24"/>
        </w:rPr>
        <w:t>2020万美元</w:t>
      </w:r>
    </w:p>
    <w:p w:rsidR="00EA03D4" w:rsidRDefault="00CB10F1">
      <w:pPr>
        <w:adjustRightInd w:val="0"/>
        <w:snapToGrid w:val="0"/>
        <w:spacing w:line="336" w:lineRule="auto"/>
        <w:ind w:firstLineChars="200" w:firstLine="480"/>
        <w:rPr>
          <w:rFonts w:ascii="宋体" w:hAnsi="宋体"/>
          <w:kern w:val="0"/>
          <w:sz w:val="24"/>
        </w:rPr>
      </w:pPr>
      <w:r>
        <w:rPr>
          <w:rFonts w:ascii="宋体" w:hAnsi="宋体" w:hint="eastAsia"/>
          <w:kern w:val="0"/>
          <w:sz w:val="24"/>
        </w:rPr>
        <w:t>4、法定代表人：鲍俊华</w:t>
      </w:r>
    </w:p>
    <w:p w:rsidR="00EA03D4" w:rsidRDefault="00CB10F1">
      <w:pPr>
        <w:adjustRightInd w:val="0"/>
        <w:snapToGrid w:val="0"/>
        <w:spacing w:line="336" w:lineRule="auto"/>
        <w:ind w:firstLineChars="200" w:firstLine="480"/>
        <w:rPr>
          <w:rFonts w:ascii="宋体" w:hAnsi="宋体"/>
          <w:kern w:val="0"/>
          <w:sz w:val="24"/>
        </w:rPr>
      </w:pPr>
      <w:r>
        <w:rPr>
          <w:rFonts w:ascii="宋体" w:hAnsi="宋体" w:hint="eastAsia"/>
          <w:kern w:val="0"/>
          <w:sz w:val="24"/>
        </w:rPr>
        <w:t>5、公司类型：有限责任公司（中外合资）</w:t>
      </w:r>
    </w:p>
    <w:p w:rsidR="00EA03D4" w:rsidRDefault="00CB10F1">
      <w:pPr>
        <w:adjustRightInd w:val="0"/>
        <w:snapToGrid w:val="0"/>
        <w:spacing w:line="336" w:lineRule="auto"/>
        <w:ind w:firstLineChars="200" w:firstLine="480"/>
        <w:rPr>
          <w:rFonts w:ascii="宋体" w:hAnsi="宋体"/>
          <w:kern w:val="0"/>
          <w:sz w:val="24"/>
        </w:rPr>
      </w:pPr>
      <w:r>
        <w:rPr>
          <w:rFonts w:ascii="宋体" w:hAnsi="宋体" w:hint="eastAsia"/>
          <w:kern w:val="0"/>
          <w:sz w:val="24"/>
        </w:rPr>
        <w:t>6、成立日期：2004年12月07日</w:t>
      </w:r>
    </w:p>
    <w:p w:rsidR="00EA03D4" w:rsidRDefault="00CB10F1">
      <w:pPr>
        <w:adjustRightInd w:val="0"/>
        <w:snapToGrid w:val="0"/>
        <w:spacing w:line="336" w:lineRule="auto"/>
        <w:ind w:firstLineChars="200" w:firstLine="480"/>
        <w:rPr>
          <w:rFonts w:ascii="宋体" w:hAnsi="宋体"/>
          <w:kern w:val="0"/>
          <w:sz w:val="24"/>
        </w:rPr>
      </w:pPr>
      <w:r>
        <w:rPr>
          <w:rFonts w:ascii="宋体" w:hAnsi="宋体" w:hint="eastAsia"/>
          <w:kern w:val="0"/>
          <w:sz w:val="24"/>
        </w:rPr>
        <w:t>7、经营范围：生产销售电容器用BOPET薄膜及其他电子材料。</w:t>
      </w:r>
    </w:p>
    <w:p w:rsidR="00EA03D4" w:rsidRDefault="00CB10F1">
      <w:pPr>
        <w:adjustRightInd w:val="0"/>
        <w:snapToGrid w:val="0"/>
        <w:spacing w:line="336" w:lineRule="auto"/>
        <w:ind w:firstLineChars="200" w:firstLine="480"/>
        <w:rPr>
          <w:rFonts w:ascii="宋体" w:hAnsi="宋体"/>
          <w:kern w:val="0"/>
          <w:sz w:val="24"/>
        </w:rPr>
      </w:pPr>
      <w:r>
        <w:rPr>
          <w:rFonts w:ascii="宋体" w:hAnsi="宋体" w:hint="eastAsia"/>
          <w:kern w:val="0"/>
          <w:sz w:val="24"/>
        </w:rPr>
        <w:t xml:space="preserve">8、住所：安徽省铜陵市经济技术开发区铜峰电子工业园 </w:t>
      </w:r>
    </w:p>
    <w:p w:rsidR="00EA03D4" w:rsidRDefault="00CB10F1">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9、与公司的关系：铜爱电子是公司控股子公司，公司拥有该公司75%股权。铜爱电子另一韩方股东爱思开希未来素材株式会社持有25%股权。</w:t>
      </w:r>
    </w:p>
    <w:p w:rsidR="00EA03D4" w:rsidRDefault="00CB10F1">
      <w:pPr>
        <w:adjustRightInd w:val="0"/>
        <w:snapToGrid w:val="0"/>
        <w:spacing w:line="336" w:lineRule="auto"/>
        <w:ind w:firstLineChars="200" w:firstLine="480"/>
        <w:rPr>
          <w:rFonts w:ascii="宋体" w:hAnsi="宋体" w:cs="宋体"/>
          <w:sz w:val="24"/>
          <w:szCs w:val="24"/>
        </w:rPr>
      </w:pPr>
      <w:r>
        <w:rPr>
          <w:rFonts w:ascii="宋体" w:hAnsi="宋体" w:cs="宋体" w:hint="eastAsia"/>
          <w:sz w:val="24"/>
          <w:szCs w:val="24"/>
        </w:rPr>
        <w:t>10、被担保人主要财务指标：</w:t>
      </w:r>
    </w:p>
    <w:p w:rsidR="00EA03D4" w:rsidRPr="003E22CF" w:rsidRDefault="00CB10F1">
      <w:pPr>
        <w:adjustRightInd w:val="0"/>
        <w:snapToGrid w:val="0"/>
        <w:spacing w:line="336" w:lineRule="auto"/>
        <w:ind w:firstLineChars="200" w:firstLine="480"/>
        <w:rPr>
          <w:rFonts w:ascii="宋体" w:hAnsi="宋体"/>
          <w:sz w:val="24"/>
        </w:rPr>
      </w:pPr>
      <w:r w:rsidRPr="003E22CF">
        <w:rPr>
          <w:rFonts w:ascii="宋体" w:hAnsi="宋体" w:hint="eastAsia"/>
          <w:sz w:val="24"/>
        </w:rPr>
        <w:t>截至2023年12月31日，铜爱电子经审计的总资产为23,032.67万元，负债总额为5,235.34万元，所有者权益17,779.33万元，2023年实现营业收入8,188.68万元，实现净利润-1,393.98万元。</w:t>
      </w:r>
    </w:p>
    <w:p w:rsidR="00EA03D4" w:rsidRDefault="00EA03D4">
      <w:pPr>
        <w:adjustRightInd w:val="0"/>
        <w:snapToGrid w:val="0"/>
        <w:spacing w:line="336" w:lineRule="auto"/>
        <w:ind w:firstLineChars="200" w:firstLine="560"/>
        <w:rPr>
          <w:rFonts w:ascii="黑体" w:eastAsia="黑体" w:hAnsi="宋体"/>
          <w:sz w:val="28"/>
          <w:szCs w:val="28"/>
        </w:rPr>
      </w:pPr>
    </w:p>
    <w:p w:rsidR="00EA03D4" w:rsidRDefault="00CB10F1">
      <w:pPr>
        <w:adjustRightInd w:val="0"/>
        <w:snapToGrid w:val="0"/>
        <w:spacing w:line="336" w:lineRule="auto"/>
        <w:ind w:firstLineChars="200" w:firstLine="480"/>
        <w:rPr>
          <w:rFonts w:ascii="黑体" w:eastAsia="黑体" w:hAnsi="宋体"/>
          <w:sz w:val="24"/>
          <w:szCs w:val="24"/>
        </w:rPr>
      </w:pPr>
      <w:r>
        <w:rPr>
          <w:rFonts w:ascii="黑体" w:eastAsia="黑体" w:hAnsi="宋体" w:hint="eastAsia"/>
          <w:sz w:val="24"/>
          <w:szCs w:val="24"/>
        </w:rPr>
        <w:t>三、担保协议的主要内容</w:t>
      </w:r>
    </w:p>
    <w:p w:rsidR="00EA03D4" w:rsidRDefault="00CB10F1">
      <w:pPr>
        <w:adjustRightInd w:val="0"/>
        <w:snapToGrid w:val="0"/>
        <w:spacing w:line="336" w:lineRule="auto"/>
        <w:ind w:firstLineChars="200" w:firstLine="480"/>
        <w:rPr>
          <w:rFonts w:ascii="宋体" w:hAnsi="宋体"/>
          <w:sz w:val="24"/>
        </w:rPr>
      </w:pPr>
      <w:r>
        <w:rPr>
          <w:rFonts w:ascii="宋体" w:hAnsi="宋体" w:hint="eastAsia"/>
          <w:sz w:val="24"/>
        </w:rPr>
        <w:t>本次担保额度项下的新增担保协议尚未签署，主要条款、实际担保金额、种类、期</w:t>
      </w:r>
      <w:r>
        <w:rPr>
          <w:rFonts w:ascii="宋体" w:hAnsi="宋体"/>
          <w:sz w:val="24"/>
        </w:rPr>
        <w:t>限等，由</w:t>
      </w:r>
      <w:r>
        <w:rPr>
          <w:rFonts w:ascii="宋体" w:hAnsi="宋体" w:hint="eastAsia"/>
          <w:sz w:val="24"/>
        </w:rPr>
        <w:t>公司</w:t>
      </w:r>
      <w:r>
        <w:rPr>
          <w:rFonts w:ascii="宋体" w:hAnsi="宋体"/>
          <w:sz w:val="24"/>
        </w:rPr>
        <w:t>及子公司根据业务需要，在前述额度范围内与银行等金融机构协商确定。</w:t>
      </w:r>
    </w:p>
    <w:p w:rsidR="00EA03D4" w:rsidRDefault="00EA03D4">
      <w:pPr>
        <w:adjustRightInd w:val="0"/>
        <w:snapToGrid w:val="0"/>
        <w:spacing w:line="336" w:lineRule="auto"/>
        <w:ind w:firstLineChars="200" w:firstLine="560"/>
        <w:rPr>
          <w:rFonts w:ascii="黑体" w:eastAsia="黑体" w:hAnsi="宋体"/>
          <w:sz w:val="28"/>
          <w:szCs w:val="28"/>
        </w:rPr>
      </w:pPr>
    </w:p>
    <w:p w:rsidR="00EA03D4" w:rsidRDefault="00CB10F1">
      <w:pPr>
        <w:adjustRightInd w:val="0"/>
        <w:snapToGrid w:val="0"/>
        <w:spacing w:line="336" w:lineRule="auto"/>
        <w:ind w:firstLineChars="200" w:firstLine="480"/>
        <w:rPr>
          <w:rFonts w:ascii="黑体" w:eastAsia="黑体" w:hAnsi="宋体"/>
          <w:sz w:val="24"/>
          <w:szCs w:val="24"/>
        </w:rPr>
      </w:pPr>
      <w:r>
        <w:rPr>
          <w:rFonts w:ascii="黑体" w:eastAsia="黑体" w:hAnsi="宋体" w:hint="eastAsia"/>
          <w:sz w:val="24"/>
          <w:szCs w:val="24"/>
        </w:rPr>
        <w:t>四、董事会意见</w:t>
      </w:r>
    </w:p>
    <w:p w:rsidR="00EA03D4" w:rsidRDefault="00CB10F1">
      <w:pPr>
        <w:adjustRightInd w:val="0"/>
        <w:snapToGrid w:val="0"/>
        <w:spacing w:line="336" w:lineRule="auto"/>
        <w:ind w:firstLineChars="200" w:firstLine="480"/>
        <w:rPr>
          <w:rFonts w:ascii="宋体" w:hAnsi="宋体"/>
          <w:sz w:val="24"/>
        </w:rPr>
      </w:pPr>
      <w:r>
        <w:rPr>
          <w:rFonts w:ascii="宋体" w:hAnsi="宋体" w:hint="eastAsia"/>
          <w:sz w:val="24"/>
        </w:rPr>
        <w:t>公司本次为全资及控股子公司提供担保额度，是基于其日常经营的实际需要，提供担保有利于全资及控股子公司开展日常经营业务，符合公司整体利益和发展战略。以上被担保方均为公司合并报表范围内的全资及控股子公司，公司对其日常经营活动风险及决策能够有效控制，可以及时掌控其资信状况。董事会同意上述担保预计事项。</w:t>
      </w:r>
    </w:p>
    <w:p w:rsidR="00EA03D4" w:rsidRDefault="00CB10F1">
      <w:pPr>
        <w:adjustRightInd w:val="0"/>
        <w:snapToGrid w:val="0"/>
        <w:spacing w:line="336" w:lineRule="auto"/>
        <w:ind w:firstLineChars="200" w:firstLine="480"/>
        <w:rPr>
          <w:rFonts w:ascii="宋体" w:hAnsi="宋体"/>
          <w:sz w:val="24"/>
        </w:rPr>
      </w:pPr>
      <w:r>
        <w:rPr>
          <w:rFonts w:ascii="宋体" w:hAnsi="宋体" w:hint="eastAsia"/>
          <w:sz w:val="24"/>
        </w:rPr>
        <w:t>控股子公司铜爱电子其他</w:t>
      </w:r>
      <w:r>
        <w:rPr>
          <w:rFonts w:ascii="宋体" w:hAnsi="宋体" w:cs="宋体"/>
          <w:sz w:val="24"/>
        </w:rPr>
        <w:t>股东</w:t>
      </w:r>
      <w:r>
        <w:rPr>
          <w:rFonts w:ascii="宋体" w:hAnsi="宋体" w:cs="宋体" w:hint="eastAsia"/>
          <w:sz w:val="24"/>
        </w:rPr>
        <w:t>由于</w:t>
      </w:r>
      <w:r>
        <w:rPr>
          <w:rFonts w:ascii="宋体" w:hAnsi="宋体" w:cs="宋体"/>
          <w:sz w:val="24"/>
        </w:rPr>
        <w:t>持股比例较小且</w:t>
      </w:r>
      <w:r>
        <w:rPr>
          <w:rFonts w:ascii="宋体" w:hAnsi="宋体" w:cs="宋体" w:hint="eastAsia"/>
          <w:sz w:val="24"/>
        </w:rPr>
        <w:t>为外</w:t>
      </w:r>
      <w:bookmarkStart w:id="0" w:name="_GoBack"/>
      <w:bookmarkEnd w:id="0"/>
      <w:r>
        <w:rPr>
          <w:rFonts w:ascii="宋体" w:hAnsi="宋体" w:cs="宋体" w:hint="eastAsia"/>
          <w:sz w:val="24"/>
        </w:rPr>
        <w:t>方股东，</w:t>
      </w:r>
      <w:r>
        <w:rPr>
          <w:rFonts w:ascii="宋体" w:hAnsi="宋体" w:cs="宋体"/>
          <w:sz w:val="24"/>
        </w:rPr>
        <w:t>不具备提供担保条件</w:t>
      </w:r>
      <w:r>
        <w:rPr>
          <w:rFonts w:ascii="宋体" w:hAnsi="宋体" w:cs="宋体" w:hint="eastAsia"/>
          <w:sz w:val="24"/>
        </w:rPr>
        <w:t>，</w:t>
      </w:r>
      <w:r>
        <w:rPr>
          <w:rFonts w:ascii="宋体" w:hAnsi="宋体" w:cs="宋体"/>
          <w:sz w:val="24"/>
        </w:rPr>
        <w:t>无法按权益比例提供担保。</w:t>
      </w:r>
      <w:r>
        <w:rPr>
          <w:rFonts w:ascii="宋体" w:hAnsi="宋体" w:hint="eastAsia"/>
          <w:sz w:val="24"/>
        </w:rPr>
        <w:t>为有效控制公司对外担保风险，铜爱电子将在担保行为实施时，为公司出具反担保承诺函，承诺如果公司因履行上述担保义务受到损失，愿意承担反担保责任，提供足额补偿。</w:t>
      </w:r>
    </w:p>
    <w:p w:rsidR="00EA03D4" w:rsidRDefault="00EA03D4">
      <w:pPr>
        <w:adjustRightInd w:val="0"/>
        <w:snapToGrid w:val="0"/>
        <w:spacing w:line="336" w:lineRule="auto"/>
        <w:ind w:firstLineChars="200" w:firstLine="480"/>
        <w:rPr>
          <w:rFonts w:ascii="宋体" w:hAnsi="宋体"/>
          <w:sz w:val="24"/>
        </w:rPr>
      </w:pPr>
    </w:p>
    <w:p w:rsidR="00EA03D4" w:rsidRDefault="00CB10F1">
      <w:pPr>
        <w:adjustRightInd w:val="0"/>
        <w:snapToGrid w:val="0"/>
        <w:spacing w:line="336" w:lineRule="auto"/>
        <w:ind w:firstLineChars="200" w:firstLine="480"/>
        <w:rPr>
          <w:rFonts w:ascii="黑体" w:eastAsia="黑体" w:hAnsi="宋体"/>
          <w:color w:val="000000" w:themeColor="text1"/>
          <w:sz w:val="24"/>
          <w:szCs w:val="24"/>
        </w:rPr>
      </w:pPr>
      <w:r>
        <w:rPr>
          <w:rFonts w:ascii="黑体" w:eastAsia="黑体" w:hAnsi="宋体" w:hint="eastAsia"/>
          <w:sz w:val="24"/>
          <w:szCs w:val="24"/>
        </w:rPr>
        <w:t>五、累计对外担保数量及逾</w:t>
      </w:r>
      <w:r>
        <w:rPr>
          <w:rFonts w:ascii="黑体" w:eastAsia="黑体" w:hAnsi="宋体" w:hint="eastAsia"/>
          <w:color w:val="000000" w:themeColor="text1"/>
          <w:sz w:val="24"/>
          <w:szCs w:val="24"/>
        </w:rPr>
        <w:t>期担保的数量</w:t>
      </w:r>
    </w:p>
    <w:p w:rsidR="00EA03D4" w:rsidRPr="0021703F" w:rsidRDefault="00CB10F1">
      <w:pPr>
        <w:adjustRightInd w:val="0"/>
        <w:snapToGrid w:val="0"/>
        <w:spacing w:line="336" w:lineRule="auto"/>
        <w:ind w:firstLineChars="200" w:firstLine="480"/>
        <w:rPr>
          <w:rFonts w:ascii="宋体" w:hAnsi="宋体" w:cs="宋体"/>
          <w:color w:val="000000" w:themeColor="text1"/>
          <w:sz w:val="24"/>
        </w:rPr>
      </w:pPr>
      <w:r w:rsidRPr="0021703F">
        <w:rPr>
          <w:rFonts w:ascii="宋体" w:hAnsi="宋体" w:hint="eastAsia"/>
          <w:color w:val="000000" w:themeColor="text1"/>
          <w:sz w:val="24"/>
        </w:rPr>
        <w:t>截至目前，公司累计对外担保总额为13,500万元人民币（不含本次担保），占公司2023年度经审计净资产的</w:t>
      </w:r>
      <w:r w:rsidR="00156538" w:rsidRPr="0021703F">
        <w:rPr>
          <w:rFonts w:ascii="宋体" w:hAnsi="宋体" w:hint="eastAsia"/>
          <w:color w:val="000000" w:themeColor="text1"/>
          <w:sz w:val="24"/>
        </w:rPr>
        <w:t>7.9</w:t>
      </w:r>
      <w:r w:rsidR="009714C7" w:rsidRPr="0021703F">
        <w:rPr>
          <w:rFonts w:ascii="宋体" w:hAnsi="宋体"/>
          <w:color w:val="000000" w:themeColor="text1"/>
          <w:sz w:val="24"/>
        </w:rPr>
        <w:t>0</w:t>
      </w:r>
      <w:r w:rsidRPr="0021703F">
        <w:rPr>
          <w:rFonts w:ascii="宋体" w:hAnsi="宋体" w:hint="eastAsia"/>
          <w:color w:val="000000" w:themeColor="text1"/>
          <w:sz w:val="24"/>
        </w:rPr>
        <w:t>%，以上担保全部系对控股子公司的担保。公司无逾期对外担保</w:t>
      </w:r>
      <w:r w:rsidRPr="0021703F">
        <w:rPr>
          <w:rFonts w:ascii="宋体" w:hAnsi="宋体" w:cs="宋体" w:hint="eastAsia"/>
          <w:color w:val="000000" w:themeColor="text1"/>
          <w:sz w:val="24"/>
        </w:rPr>
        <w:t>。</w:t>
      </w:r>
    </w:p>
    <w:p w:rsidR="00EA03D4" w:rsidRDefault="00EA03D4">
      <w:pPr>
        <w:adjustRightInd w:val="0"/>
        <w:snapToGrid w:val="0"/>
        <w:spacing w:line="336" w:lineRule="auto"/>
        <w:ind w:firstLineChars="200" w:firstLine="560"/>
        <w:rPr>
          <w:rFonts w:ascii="黑体" w:eastAsia="黑体" w:hAnsi="宋体"/>
          <w:sz w:val="28"/>
          <w:szCs w:val="28"/>
        </w:rPr>
      </w:pPr>
    </w:p>
    <w:p w:rsidR="00EA03D4" w:rsidRDefault="00CB10F1">
      <w:pPr>
        <w:adjustRightInd w:val="0"/>
        <w:snapToGrid w:val="0"/>
        <w:spacing w:line="336" w:lineRule="auto"/>
        <w:ind w:firstLineChars="200" w:firstLine="480"/>
        <w:rPr>
          <w:rFonts w:ascii="黑体" w:eastAsia="黑体" w:hAnsi="宋体"/>
          <w:sz w:val="24"/>
          <w:szCs w:val="24"/>
        </w:rPr>
      </w:pPr>
      <w:r>
        <w:rPr>
          <w:rFonts w:ascii="黑体" w:eastAsia="黑体" w:hAnsi="宋体" w:hint="eastAsia"/>
          <w:sz w:val="24"/>
          <w:szCs w:val="24"/>
        </w:rPr>
        <w:t xml:space="preserve">六、备查文件目录 </w:t>
      </w:r>
    </w:p>
    <w:p w:rsidR="00EA03D4" w:rsidRDefault="00CB10F1">
      <w:pPr>
        <w:adjustRightInd w:val="0"/>
        <w:snapToGrid w:val="0"/>
        <w:spacing w:line="336" w:lineRule="auto"/>
        <w:ind w:firstLineChars="200" w:firstLine="480"/>
        <w:rPr>
          <w:rFonts w:ascii="宋体" w:hAnsi="宋体"/>
          <w:sz w:val="24"/>
        </w:rPr>
      </w:pPr>
      <w:r>
        <w:rPr>
          <w:rFonts w:ascii="宋体" w:hAnsi="宋体" w:hint="eastAsia"/>
          <w:sz w:val="24"/>
        </w:rPr>
        <w:t>被担保公司营业执照复印件及最近一年财务报表。</w:t>
      </w:r>
    </w:p>
    <w:p w:rsidR="00EA03D4" w:rsidRDefault="00EA03D4">
      <w:pPr>
        <w:adjustRightInd w:val="0"/>
        <w:snapToGrid w:val="0"/>
        <w:spacing w:line="336" w:lineRule="auto"/>
        <w:ind w:firstLineChars="200" w:firstLine="480"/>
        <w:rPr>
          <w:rFonts w:ascii="宋体" w:eastAsia="宋体" w:hAnsi="宋体" w:cs="Times New Roman"/>
          <w:kern w:val="0"/>
          <w:sz w:val="24"/>
          <w:szCs w:val="24"/>
        </w:rPr>
      </w:pPr>
    </w:p>
    <w:p w:rsidR="00EA03D4" w:rsidRDefault="00CB10F1">
      <w:pPr>
        <w:adjustRightInd w:val="0"/>
        <w:snapToGrid w:val="0"/>
        <w:spacing w:line="336" w:lineRule="auto"/>
        <w:ind w:firstLineChars="200" w:firstLine="480"/>
        <w:rPr>
          <w:rFonts w:ascii="宋体" w:eastAsia="宋体" w:hAnsi="宋体" w:cs="Times New Roman"/>
          <w:kern w:val="0"/>
          <w:sz w:val="24"/>
          <w:szCs w:val="24"/>
        </w:rPr>
      </w:pPr>
      <w:r>
        <w:rPr>
          <w:rFonts w:ascii="宋体" w:eastAsia="宋体" w:hAnsi="宋体" w:cs="Times New Roman"/>
          <w:kern w:val="0"/>
          <w:sz w:val="24"/>
          <w:szCs w:val="24"/>
        </w:rPr>
        <w:t>特此公告。</w:t>
      </w:r>
    </w:p>
    <w:p w:rsidR="00EA03D4" w:rsidRDefault="00CB10F1">
      <w:pPr>
        <w:adjustRightInd w:val="0"/>
        <w:snapToGrid w:val="0"/>
        <w:spacing w:line="336" w:lineRule="auto"/>
        <w:ind w:firstLineChars="200" w:firstLine="480"/>
        <w:rPr>
          <w:rFonts w:ascii="宋体" w:eastAsia="宋体" w:hAnsi="宋体" w:cs="Times New Roman"/>
          <w:kern w:val="0"/>
          <w:sz w:val="24"/>
          <w:szCs w:val="24"/>
        </w:rPr>
      </w:pPr>
      <w:r>
        <w:rPr>
          <w:rFonts w:ascii="宋体" w:eastAsia="宋体" w:hAnsi="宋体" w:cs="Times New Roman" w:hint="eastAsia"/>
          <w:kern w:val="0"/>
          <w:sz w:val="24"/>
          <w:szCs w:val="24"/>
        </w:rPr>
        <w:t xml:space="preserve">                                   安徽铜峰电子股份有限公司董事会</w:t>
      </w:r>
    </w:p>
    <w:p w:rsidR="00EA03D4" w:rsidRDefault="00CB10F1">
      <w:pPr>
        <w:adjustRightInd w:val="0"/>
        <w:snapToGrid w:val="0"/>
        <w:spacing w:line="336" w:lineRule="auto"/>
        <w:ind w:right="480" w:firstLineChars="2300" w:firstLine="5520"/>
        <w:rPr>
          <w:rFonts w:ascii="宋体" w:eastAsia="宋体" w:hAnsi="宋体" w:cs="Times New Roman"/>
          <w:kern w:val="0"/>
          <w:sz w:val="24"/>
          <w:szCs w:val="24"/>
        </w:rPr>
      </w:pPr>
      <w:r>
        <w:rPr>
          <w:rFonts w:ascii="宋体" w:eastAsia="宋体" w:hAnsi="宋体" w:cs="Times New Roman" w:hint="eastAsia"/>
          <w:kern w:val="0"/>
          <w:sz w:val="24"/>
          <w:szCs w:val="24"/>
        </w:rPr>
        <w:t xml:space="preserve">  2024年3月</w:t>
      </w:r>
      <w:r w:rsidR="0073313B">
        <w:rPr>
          <w:rFonts w:ascii="宋体" w:eastAsia="宋体" w:hAnsi="宋体" w:cs="Times New Roman" w:hint="eastAsia"/>
          <w:kern w:val="0"/>
          <w:sz w:val="24"/>
          <w:szCs w:val="24"/>
        </w:rPr>
        <w:t>1</w:t>
      </w:r>
      <w:r w:rsidR="008A2225">
        <w:rPr>
          <w:rFonts w:ascii="宋体" w:eastAsia="宋体" w:hAnsi="宋体" w:cs="Times New Roman"/>
          <w:kern w:val="0"/>
          <w:sz w:val="24"/>
          <w:szCs w:val="24"/>
        </w:rPr>
        <w:t>9</w:t>
      </w:r>
      <w:r>
        <w:rPr>
          <w:rFonts w:ascii="宋体" w:eastAsia="宋体" w:hAnsi="宋体" w:cs="Times New Roman" w:hint="eastAsia"/>
          <w:kern w:val="0"/>
          <w:sz w:val="24"/>
          <w:szCs w:val="24"/>
        </w:rPr>
        <w:t>日</w:t>
      </w:r>
    </w:p>
    <w:sectPr w:rsidR="00EA03D4" w:rsidSect="00EA03D4">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F1B53" w:rsidRDefault="005F1B53" w:rsidP="00213245">
      <w:r>
        <w:separator/>
      </w:r>
    </w:p>
  </w:endnote>
  <w:endnote w:type="continuationSeparator" w:id="0">
    <w:p w:rsidR="005F1B53" w:rsidRDefault="005F1B53" w:rsidP="002132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_GB2312">
    <w:altName w:val="楷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F1B53" w:rsidRDefault="005F1B53" w:rsidP="00213245">
      <w:r>
        <w:separator/>
      </w:r>
    </w:p>
  </w:footnote>
  <w:footnote w:type="continuationSeparator" w:id="0">
    <w:p w:rsidR="005F1B53" w:rsidRDefault="005F1B53" w:rsidP="00213245">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3F5330B"/>
    <w:multiLevelType w:val="multilevel"/>
    <w:tmpl w:val="53F5330B"/>
    <w:lvl w:ilvl="0">
      <w:numFmt w:val="bullet"/>
      <w:lvlText w:val="●"/>
      <w:lvlJc w:val="left"/>
      <w:pPr>
        <w:tabs>
          <w:tab w:val="left" w:pos="360"/>
        </w:tabs>
        <w:ind w:left="360" w:hanging="360"/>
      </w:pPr>
      <w:rPr>
        <w:rFonts w:ascii="宋体" w:eastAsia="宋体" w:hAnsi="宋体" w:cs="Times New Roman" w:hint="eastAsia"/>
      </w:rPr>
    </w:lvl>
    <w:lvl w:ilvl="1">
      <w:start w:val="1"/>
      <w:numFmt w:val="bullet"/>
      <w:lvlText w:val=""/>
      <w:lvlJc w:val="left"/>
      <w:pPr>
        <w:tabs>
          <w:tab w:val="left" w:pos="840"/>
        </w:tabs>
        <w:ind w:left="840" w:hanging="420"/>
      </w:pPr>
      <w:rPr>
        <w:rFonts w:ascii="Wingdings" w:hAnsi="Wingdings" w:hint="default"/>
      </w:rPr>
    </w:lvl>
    <w:lvl w:ilvl="2">
      <w:start w:val="1"/>
      <w:numFmt w:val="bullet"/>
      <w:lvlText w:val=""/>
      <w:lvlJc w:val="left"/>
      <w:pPr>
        <w:tabs>
          <w:tab w:val="left" w:pos="1260"/>
        </w:tabs>
        <w:ind w:left="1260" w:hanging="420"/>
      </w:pPr>
      <w:rPr>
        <w:rFonts w:ascii="Wingdings" w:hAnsi="Wingdings" w:hint="default"/>
      </w:rPr>
    </w:lvl>
    <w:lvl w:ilvl="3">
      <w:start w:val="1"/>
      <w:numFmt w:val="bullet"/>
      <w:lvlText w:val=""/>
      <w:lvlJc w:val="left"/>
      <w:pPr>
        <w:tabs>
          <w:tab w:val="left" w:pos="1680"/>
        </w:tabs>
        <w:ind w:left="1680" w:hanging="420"/>
      </w:pPr>
      <w:rPr>
        <w:rFonts w:ascii="Wingdings" w:hAnsi="Wingdings" w:hint="default"/>
      </w:rPr>
    </w:lvl>
    <w:lvl w:ilvl="4">
      <w:start w:val="1"/>
      <w:numFmt w:val="bullet"/>
      <w:lvlText w:val=""/>
      <w:lvlJc w:val="left"/>
      <w:pPr>
        <w:tabs>
          <w:tab w:val="left" w:pos="2100"/>
        </w:tabs>
        <w:ind w:left="2100" w:hanging="420"/>
      </w:pPr>
      <w:rPr>
        <w:rFonts w:ascii="Wingdings" w:hAnsi="Wingdings" w:hint="default"/>
      </w:rPr>
    </w:lvl>
    <w:lvl w:ilvl="5">
      <w:start w:val="1"/>
      <w:numFmt w:val="bullet"/>
      <w:lvlText w:val=""/>
      <w:lvlJc w:val="left"/>
      <w:pPr>
        <w:tabs>
          <w:tab w:val="left" w:pos="2520"/>
        </w:tabs>
        <w:ind w:left="2520" w:hanging="420"/>
      </w:pPr>
      <w:rPr>
        <w:rFonts w:ascii="Wingdings" w:hAnsi="Wingdings" w:hint="default"/>
      </w:rPr>
    </w:lvl>
    <w:lvl w:ilvl="6">
      <w:start w:val="1"/>
      <w:numFmt w:val="bullet"/>
      <w:lvlText w:val=""/>
      <w:lvlJc w:val="left"/>
      <w:pPr>
        <w:tabs>
          <w:tab w:val="left" w:pos="2940"/>
        </w:tabs>
        <w:ind w:left="2940" w:hanging="420"/>
      </w:pPr>
      <w:rPr>
        <w:rFonts w:ascii="Wingdings" w:hAnsi="Wingdings" w:hint="default"/>
      </w:rPr>
    </w:lvl>
    <w:lvl w:ilvl="7">
      <w:start w:val="1"/>
      <w:numFmt w:val="bullet"/>
      <w:lvlText w:val=""/>
      <w:lvlJc w:val="left"/>
      <w:pPr>
        <w:tabs>
          <w:tab w:val="left" w:pos="3360"/>
        </w:tabs>
        <w:ind w:left="3360" w:hanging="420"/>
      </w:pPr>
      <w:rPr>
        <w:rFonts w:ascii="Wingdings" w:hAnsi="Wingdings" w:hint="default"/>
      </w:rPr>
    </w:lvl>
    <w:lvl w:ilvl="8">
      <w:start w:val="1"/>
      <w:numFmt w:val="bullet"/>
      <w:lvlText w:val=""/>
      <w:lvlJc w:val="left"/>
      <w:pPr>
        <w:tabs>
          <w:tab w:val="left"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5"/>
  <w:bordersDoNotSurroundHeader/>
  <w:bordersDoNotSurroundFooter/>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docVars>
    <w:docVar w:name="commondata" w:val="eyJoZGlkIjoiNzY0OWMzZmE1MjVlYmVkMTI3NWVhMmExZmNhNWEwOWMifQ=="/>
  </w:docVars>
  <w:rsids>
    <w:rsidRoot w:val="00E62B40"/>
    <w:rsid w:val="00001EDB"/>
    <w:rsid w:val="00002B40"/>
    <w:rsid w:val="00017C7F"/>
    <w:rsid w:val="00041BD4"/>
    <w:rsid w:val="00041E8B"/>
    <w:rsid w:val="000443B4"/>
    <w:rsid w:val="00060E58"/>
    <w:rsid w:val="00073268"/>
    <w:rsid w:val="0008339E"/>
    <w:rsid w:val="00092D20"/>
    <w:rsid w:val="000A1C59"/>
    <w:rsid w:val="000A5C6B"/>
    <w:rsid w:val="000B3FEE"/>
    <w:rsid w:val="000B76D9"/>
    <w:rsid w:val="000C0834"/>
    <w:rsid w:val="000C0CAA"/>
    <w:rsid w:val="000C2758"/>
    <w:rsid w:val="000C3402"/>
    <w:rsid w:val="000C49FE"/>
    <w:rsid w:val="000D4B27"/>
    <w:rsid w:val="000E04C0"/>
    <w:rsid w:val="00115529"/>
    <w:rsid w:val="00135848"/>
    <w:rsid w:val="00137B65"/>
    <w:rsid w:val="00145C13"/>
    <w:rsid w:val="00156538"/>
    <w:rsid w:val="001767C4"/>
    <w:rsid w:val="0018020B"/>
    <w:rsid w:val="0019303C"/>
    <w:rsid w:val="001D2FA5"/>
    <w:rsid w:val="001F5E43"/>
    <w:rsid w:val="001F7A03"/>
    <w:rsid w:val="00200CAA"/>
    <w:rsid w:val="0020224B"/>
    <w:rsid w:val="002046C2"/>
    <w:rsid w:val="0020547C"/>
    <w:rsid w:val="00207EDF"/>
    <w:rsid w:val="00213245"/>
    <w:rsid w:val="00215E43"/>
    <w:rsid w:val="0021703F"/>
    <w:rsid w:val="00224E38"/>
    <w:rsid w:val="0023333E"/>
    <w:rsid w:val="002342B4"/>
    <w:rsid w:val="0027224F"/>
    <w:rsid w:val="00290F92"/>
    <w:rsid w:val="002C10B4"/>
    <w:rsid w:val="00310067"/>
    <w:rsid w:val="00312677"/>
    <w:rsid w:val="0031574A"/>
    <w:rsid w:val="003466FE"/>
    <w:rsid w:val="003561FD"/>
    <w:rsid w:val="00361D40"/>
    <w:rsid w:val="00373A4A"/>
    <w:rsid w:val="00375C7D"/>
    <w:rsid w:val="00377759"/>
    <w:rsid w:val="00387496"/>
    <w:rsid w:val="003A1B5E"/>
    <w:rsid w:val="003A7073"/>
    <w:rsid w:val="003B1C57"/>
    <w:rsid w:val="003C0091"/>
    <w:rsid w:val="003D2DBA"/>
    <w:rsid w:val="003D2E56"/>
    <w:rsid w:val="003D2F44"/>
    <w:rsid w:val="003E22CF"/>
    <w:rsid w:val="003F2675"/>
    <w:rsid w:val="003F286F"/>
    <w:rsid w:val="003F30D5"/>
    <w:rsid w:val="003F6CDC"/>
    <w:rsid w:val="00400AA6"/>
    <w:rsid w:val="004017AA"/>
    <w:rsid w:val="004218B7"/>
    <w:rsid w:val="00424D97"/>
    <w:rsid w:val="0044276E"/>
    <w:rsid w:val="00443BB9"/>
    <w:rsid w:val="00452359"/>
    <w:rsid w:val="00452ECD"/>
    <w:rsid w:val="00455640"/>
    <w:rsid w:val="00460CA3"/>
    <w:rsid w:val="00480D78"/>
    <w:rsid w:val="00493F4F"/>
    <w:rsid w:val="004C6051"/>
    <w:rsid w:val="004E49DB"/>
    <w:rsid w:val="004F09DA"/>
    <w:rsid w:val="004F465C"/>
    <w:rsid w:val="00504E99"/>
    <w:rsid w:val="005205F9"/>
    <w:rsid w:val="00556E91"/>
    <w:rsid w:val="0056084C"/>
    <w:rsid w:val="00573CDA"/>
    <w:rsid w:val="005A7A53"/>
    <w:rsid w:val="005D5C6C"/>
    <w:rsid w:val="005E3CB8"/>
    <w:rsid w:val="005E5784"/>
    <w:rsid w:val="005F1B53"/>
    <w:rsid w:val="005F5BA0"/>
    <w:rsid w:val="00624EDF"/>
    <w:rsid w:val="00626B69"/>
    <w:rsid w:val="006270A6"/>
    <w:rsid w:val="00632DA7"/>
    <w:rsid w:val="00635003"/>
    <w:rsid w:val="006404ED"/>
    <w:rsid w:val="00644CE8"/>
    <w:rsid w:val="00654E0C"/>
    <w:rsid w:val="00670794"/>
    <w:rsid w:val="00676E49"/>
    <w:rsid w:val="0068080C"/>
    <w:rsid w:val="00691469"/>
    <w:rsid w:val="00692B57"/>
    <w:rsid w:val="00696517"/>
    <w:rsid w:val="006A0419"/>
    <w:rsid w:val="006A3005"/>
    <w:rsid w:val="006A72F4"/>
    <w:rsid w:val="006D4853"/>
    <w:rsid w:val="006E5D00"/>
    <w:rsid w:val="006F429A"/>
    <w:rsid w:val="006F549B"/>
    <w:rsid w:val="0071088D"/>
    <w:rsid w:val="00720315"/>
    <w:rsid w:val="00732BC7"/>
    <w:rsid w:val="0073313B"/>
    <w:rsid w:val="007402D9"/>
    <w:rsid w:val="00752CB5"/>
    <w:rsid w:val="007A01D7"/>
    <w:rsid w:val="007B0B33"/>
    <w:rsid w:val="007F32A6"/>
    <w:rsid w:val="00803DC4"/>
    <w:rsid w:val="00811B8D"/>
    <w:rsid w:val="00846DA2"/>
    <w:rsid w:val="00852D60"/>
    <w:rsid w:val="008551A2"/>
    <w:rsid w:val="00881FAC"/>
    <w:rsid w:val="008A2225"/>
    <w:rsid w:val="008A7A16"/>
    <w:rsid w:val="008D4394"/>
    <w:rsid w:val="008F7B66"/>
    <w:rsid w:val="00905039"/>
    <w:rsid w:val="00916B8C"/>
    <w:rsid w:val="00925AED"/>
    <w:rsid w:val="00955A2C"/>
    <w:rsid w:val="00962206"/>
    <w:rsid w:val="00962AB0"/>
    <w:rsid w:val="009665C1"/>
    <w:rsid w:val="00966B56"/>
    <w:rsid w:val="009675A0"/>
    <w:rsid w:val="009714C7"/>
    <w:rsid w:val="009733C0"/>
    <w:rsid w:val="0097580D"/>
    <w:rsid w:val="009A591A"/>
    <w:rsid w:val="009C45B5"/>
    <w:rsid w:val="009E5C8A"/>
    <w:rsid w:val="00A0459C"/>
    <w:rsid w:val="00A06361"/>
    <w:rsid w:val="00A142F6"/>
    <w:rsid w:val="00A430AE"/>
    <w:rsid w:val="00A461D2"/>
    <w:rsid w:val="00A532FC"/>
    <w:rsid w:val="00A61B62"/>
    <w:rsid w:val="00AA0A2C"/>
    <w:rsid w:val="00AA7C3D"/>
    <w:rsid w:val="00AC5A88"/>
    <w:rsid w:val="00AE6382"/>
    <w:rsid w:val="00AE7EEC"/>
    <w:rsid w:val="00AF222C"/>
    <w:rsid w:val="00AF2FE0"/>
    <w:rsid w:val="00B06988"/>
    <w:rsid w:val="00B1487F"/>
    <w:rsid w:val="00B51C5E"/>
    <w:rsid w:val="00B53803"/>
    <w:rsid w:val="00B53A68"/>
    <w:rsid w:val="00B53CE2"/>
    <w:rsid w:val="00B57556"/>
    <w:rsid w:val="00B60D33"/>
    <w:rsid w:val="00BA77FD"/>
    <w:rsid w:val="00BC2984"/>
    <w:rsid w:val="00BC31CC"/>
    <w:rsid w:val="00BF7CF3"/>
    <w:rsid w:val="00C03A0D"/>
    <w:rsid w:val="00C27464"/>
    <w:rsid w:val="00C5054E"/>
    <w:rsid w:val="00C5391C"/>
    <w:rsid w:val="00C76501"/>
    <w:rsid w:val="00C84ED9"/>
    <w:rsid w:val="00C9188D"/>
    <w:rsid w:val="00CA137A"/>
    <w:rsid w:val="00CA740D"/>
    <w:rsid w:val="00CB10F1"/>
    <w:rsid w:val="00CB652F"/>
    <w:rsid w:val="00CC4126"/>
    <w:rsid w:val="00CC7E97"/>
    <w:rsid w:val="00CE6983"/>
    <w:rsid w:val="00CF465E"/>
    <w:rsid w:val="00D043CE"/>
    <w:rsid w:val="00D77EE6"/>
    <w:rsid w:val="00D92D90"/>
    <w:rsid w:val="00D9461A"/>
    <w:rsid w:val="00DA5162"/>
    <w:rsid w:val="00DB49CD"/>
    <w:rsid w:val="00DB7B52"/>
    <w:rsid w:val="00DC35A2"/>
    <w:rsid w:val="00DE59E1"/>
    <w:rsid w:val="00E01290"/>
    <w:rsid w:val="00E128C7"/>
    <w:rsid w:val="00E21C57"/>
    <w:rsid w:val="00E308DC"/>
    <w:rsid w:val="00E35FEC"/>
    <w:rsid w:val="00E54E25"/>
    <w:rsid w:val="00E57C35"/>
    <w:rsid w:val="00E62B40"/>
    <w:rsid w:val="00E62C29"/>
    <w:rsid w:val="00E63628"/>
    <w:rsid w:val="00E85D1D"/>
    <w:rsid w:val="00E92EDD"/>
    <w:rsid w:val="00EA03D4"/>
    <w:rsid w:val="00EA0F17"/>
    <w:rsid w:val="00EB26B0"/>
    <w:rsid w:val="00EC0316"/>
    <w:rsid w:val="00EC084B"/>
    <w:rsid w:val="00ED7C4D"/>
    <w:rsid w:val="00F14EE4"/>
    <w:rsid w:val="00F30308"/>
    <w:rsid w:val="00F30CDE"/>
    <w:rsid w:val="00F36B5F"/>
    <w:rsid w:val="00F4443B"/>
    <w:rsid w:val="00F601C5"/>
    <w:rsid w:val="00F6190D"/>
    <w:rsid w:val="00F8141F"/>
    <w:rsid w:val="00F87F8E"/>
    <w:rsid w:val="00F9210D"/>
    <w:rsid w:val="00F96695"/>
    <w:rsid w:val="00F97601"/>
    <w:rsid w:val="00FA56E2"/>
    <w:rsid w:val="00FA738B"/>
    <w:rsid w:val="00FC21C5"/>
    <w:rsid w:val="00FE6439"/>
    <w:rsid w:val="00FF3255"/>
    <w:rsid w:val="01B407CD"/>
    <w:rsid w:val="036203AD"/>
    <w:rsid w:val="04DB0160"/>
    <w:rsid w:val="053D446C"/>
    <w:rsid w:val="0A2D3810"/>
    <w:rsid w:val="0BA8062E"/>
    <w:rsid w:val="0EB82B0A"/>
    <w:rsid w:val="0FAB54DA"/>
    <w:rsid w:val="0FCC3507"/>
    <w:rsid w:val="153B5018"/>
    <w:rsid w:val="15997A79"/>
    <w:rsid w:val="177B6027"/>
    <w:rsid w:val="17A74AAC"/>
    <w:rsid w:val="1F1324A1"/>
    <w:rsid w:val="1FC30B11"/>
    <w:rsid w:val="206D1BBD"/>
    <w:rsid w:val="20B861BA"/>
    <w:rsid w:val="266820D0"/>
    <w:rsid w:val="278E5B93"/>
    <w:rsid w:val="282D4998"/>
    <w:rsid w:val="28563B93"/>
    <w:rsid w:val="2ADD6304"/>
    <w:rsid w:val="2BA43A26"/>
    <w:rsid w:val="2C3F084C"/>
    <w:rsid w:val="2CD2498B"/>
    <w:rsid w:val="34862547"/>
    <w:rsid w:val="36EF0E3F"/>
    <w:rsid w:val="3C35167A"/>
    <w:rsid w:val="3C731564"/>
    <w:rsid w:val="3D8911BC"/>
    <w:rsid w:val="42085ED6"/>
    <w:rsid w:val="448B4A6D"/>
    <w:rsid w:val="4B4D5771"/>
    <w:rsid w:val="4CB031F5"/>
    <w:rsid w:val="4DB201F8"/>
    <w:rsid w:val="4DB25686"/>
    <w:rsid w:val="519863AC"/>
    <w:rsid w:val="55A0472B"/>
    <w:rsid w:val="55F350FC"/>
    <w:rsid w:val="5A15221B"/>
    <w:rsid w:val="5ADF5CC5"/>
    <w:rsid w:val="5EF841B9"/>
    <w:rsid w:val="646F061B"/>
    <w:rsid w:val="64EF648F"/>
    <w:rsid w:val="66B92E52"/>
    <w:rsid w:val="6F5E0242"/>
    <w:rsid w:val="6F6810F1"/>
    <w:rsid w:val="70481E09"/>
    <w:rsid w:val="7D9951D0"/>
    <w:rsid w:val="7FC2033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CA294E96-1E9C-43E4-890D-7DBF7A0A65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03D4"/>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autoRedefine/>
    <w:uiPriority w:val="99"/>
    <w:unhideWhenUsed/>
    <w:qFormat/>
    <w:rsid w:val="00EA03D4"/>
    <w:pPr>
      <w:tabs>
        <w:tab w:val="center" w:pos="4153"/>
        <w:tab w:val="right" w:pos="8306"/>
      </w:tabs>
      <w:snapToGrid w:val="0"/>
      <w:jc w:val="left"/>
    </w:pPr>
    <w:rPr>
      <w:sz w:val="18"/>
      <w:szCs w:val="18"/>
    </w:rPr>
  </w:style>
  <w:style w:type="paragraph" w:styleId="a5">
    <w:name w:val="header"/>
    <w:basedOn w:val="a"/>
    <w:link w:val="a6"/>
    <w:autoRedefine/>
    <w:uiPriority w:val="99"/>
    <w:unhideWhenUsed/>
    <w:qFormat/>
    <w:rsid w:val="00EA03D4"/>
    <w:pPr>
      <w:pBdr>
        <w:bottom w:val="single" w:sz="6" w:space="1" w:color="auto"/>
      </w:pBdr>
      <w:tabs>
        <w:tab w:val="center" w:pos="4153"/>
        <w:tab w:val="right" w:pos="8306"/>
      </w:tabs>
      <w:snapToGrid w:val="0"/>
      <w:jc w:val="center"/>
    </w:pPr>
    <w:rPr>
      <w:sz w:val="18"/>
      <w:szCs w:val="18"/>
    </w:rPr>
  </w:style>
  <w:style w:type="paragraph" w:styleId="a7">
    <w:name w:val="Normal (Web)"/>
    <w:basedOn w:val="a"/>
    <w:autoRedefine/>
    <w:qFormat/>
    <w:rsid w:val="00EA03D4"/>
    <w:pPr>
      <w:widowControl/>
      <w:spacing w:before="100" w:beforeAutospacing="1" w:after="100" w:afterAutospacing="1"/>
      <w:jc w:val="left"/>
    </w:pPr>
    <w:rPr>
      <w:rFonts w:ascii="宋体" w:eastAsia="宋体" w:hAnsi="宋体" w:cs="Times New Roman"/>
      <w:kern w:val="0"/>
      <w:sz w:val="24"/>
      <w:szCs w:val="24"/>
    </w:rPr>
  </w:style>
  <w:style w:type="table" w:styleId="a8">
    <w:name w:val="Table Grid"/>
    <w:basedOn w:val="a1"/>
    <w:autoRedefine/>
    <w:uiPriority w:val="59"/>
    <w:qFormat/>
    <w:rsid w:val="00EA03D4"/>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a6">
    <w:name w:val="页眉 字符"/>
    <w:basedOn w:val="a0"/>
    <w:link w:val="a5"/>
    <w:autoRedefine/>
    <w:uiPriority w:val="99"/>
    <w:qFormat/>
    <w:rsid w:val="00EA03D4"/>
    <w:rPr>
      <w:sz w:val="18"/>
      <w:szCs w:val="18"/>
    </w:rPr>
  </w:style>
  <w:style w:type="character" w:customStyle="1" w:styleId="a4">
    <w:name w:val="页脚 字符"/>
    <w:basedOn w:val="a0"/>
    <w:link w:val="a3"/>
    <w:autoRedefine/>
    <w:uiPriority w:val="99"/>
    <w:qFormat/>
    <w:rsid w:val="00EA03D4"/>
    <w:rPr>
      <w:sz w:val="18"/>
      <w:szCs w:val="18"/>
    </w:rPr>
  </w:style>
  <w:style w:type="paragraph" w:customStyle="1" w:styleId="Default">
    <w:name w:val="Default"/>
    <w:autoRedefine/>
    <w:qFormat/>
    <w:rsid w:val="00EA03D4"/>
    <w:pPr>
      <w:widowControl w:val="0"/>
      <w:autoSpaceDE w:val="0"/>
      <w:autoSpaceDN w:val="0"/>
      <w:adjustRightInd w:val="0"/>
    </w:pPr>
    <w:rPr>
      <w:rFonts w:ascii="黑体" w:eastAsia="黑体" w:hAnsiTheme="minorHAnsi" w:cs="黑体"/>
      <w:color w:val="000000"/>
      <w:sz w:val="24"/>
      <w:szCs w:val="24"/>
    </w:rPr>
  </w:style>
  <w:style w:type="paragraph" w:customStyle="1" w:styleId="zw">
    <w:name w:val="zw"/>
    <w:basedOn w:val="a"/>
    <w:link w:val="zwChar"/>
    <w:autoRedefine/>
    <w:qFormat/>
    <w:rsid w:val="00EA03D4"/>
    <w:pPr>
      <w:adjustRightInd w:val="0"/>
      <w:spacing w:line="360" w:lineRule="auto"/>
      <w:ind w:firstLine="482"/>
      <w:textAlignment w:val="baseline"/>
    </w:pPr>
    <w:rPr>
      <w:rFonts w:ascii="Arial Narrow" w:eastAsia="楷体_GB2312" w:hAnsi="Arial Narrow" w:cs="Times New Roman"/>
      <w:kern w:val="0"/>
      <w:sz w:val="24"/>
      <w:szCs w:val="20"/>
    </w:rPr>
  </w:style>
  <w:style w:type="character" w:customStyle="1" w:styleId="zwChar">
    <w:name w:val="zw Char"/>
    <w:basedOn w:val="a0"/>
    <w:link w:val="zw"/>
    <w:autoRedefine/>
    <w:qFormat/>
    <w:rsid w:val="00EA03D4"/>
    <w:rPr>
      <w:rFonts w:ascii="Arial Narrow" w:eastAsia="楷体_GB2312" w:hAnsi="Arial Narrow" w:cs="Times New Roman"/>
      <w:kern w:val="0"/>
      <w:sz w:val="24"/>
      <w:szCs w:val="20"/>
    </w:rPr>
  </w:style>
  <w:style w:type="paragraph" w:styleId="a9">
    <w:name w:val="List Paragraph"/>
    <w:basedOn w:val="a"/>
    <w:autoRedefine/>
    <w:uiPriority w:val="99"/>
    <w:unhideWhenUsed/>
    <w:qFormat/>
    <w:rsid w:val="00EA03D4"/>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4</Pages>
  <Words>417</Words>
  <Characters>2377</Characters>
  <Application>Microsoft Office Word</Application>
  <DocSecurity>0</DocSecurity>
  <Lines>19</Lines>
  <Paragraphs>5</Paragraphs>
  <ScaleCrop>false</ScaleCrop>
  <Company>微软中国</Company>
  <LinksUpToDate>false</LinksUpToDate>
  <CharactersWithSpaces>2789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李骏</cp:lastModifiedBy>
  <cp:revision>32</cp:revision>
  <dcterms:created xsi:type="dcterms:W3CDTF">2023-03-10T01:37:00Z</dcterms:created>
  <dcterms:modified xsi:type="dcterms:W3CDTF">2024-03-18T04:26:00Z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2052-12.1.0.16399</vt:lpwstr>
  </property>
  <property fmtid="{D5CDD505-2E9C-101B-9397-08002B2CF9AE}" pid="3" name="ICV">
    <vt:lpwstr>F635B590F8224F1A8E6138E5C4B95228</vt:lpwstr>
  </property>
</Properties>
</file>