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75" w:rsidRPr="00CF6E98" w:rsidRDefault="00F443D7">
      <w:pPr>
        <w:adjustRightInd w:val="0"/>
        <w:snapToGrid w:val="0"/>
        <w:spacing w:line="332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/>
          <w:sz w:val="28"/>
        </w:rPr>
        <w:t>600237</w:t>
      </w:r>
      <w:r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  </w:t>
      </w:r>
      <w:r>
        <w:rPr>
          <w:rFonts w:ascii="黑体" w:eastAsia="黑体" w:hint="eastAsia"/>
          <w:color w:val="000000" w:themeColor="text1"/>
          <w:sz w:val="28"/>
        </w:rPr>
        <w:t>公告编号：临2</w:t>
      </w:r>
      <w:r w:rsidRPr="00CF6E98">
        <w:rPr>
          <w:rFonts w:ascii="黑体" w:eastAsia="黑体" w:hint="eastAsia"/>
          <w:color w:val="000000" w:themeColor="text1"/>
          <w:sz w:val="28"/>
        </w:rPr>
        <w:t>024-</w:t>
      </w:r>
      <w:r w:rsidRPr="00CF6E98">
        <w:rPr>
          <w:rFonts w:ascii="黑体" w:eastAsia="黑体"/>
          <w:color w:val="000000" w:themeColor="text1"/>
          <w:sz w:val="28"/>
        </w:rPr>
        <w:t>0</w:t>
      </w:r>
      <w:r w:rsidRPr="00CF6E98">
        <w:rPr>
          <w:rFonts w:ascii="黑体" w:eastAsia="黑体" w:hint="eastAsia"/>
          <w:color w:val="000000" w:themeColor="text1"/>
          <w:sz w:val="28"/>
        </w:rPr>
        <w:t>10</w:t>
      </w:r>
    </w:p>
    <w:p w:rsidR="00647175" w:rsidRDefault="00647175">
      <w:pPr>
        <w:adjustRightInd w:val="0"/>
        <w:snapToGrid w:val="0"/>
        <w:spacing w:line="332" w:lineRule="auto"/>
        <w:ind w:firstLineChars="200" w:firstLine="640"/>
        <w:jc w:val="center"/>
        <w:rPr>
          <w:rFonts w:ascii="黑体" w:eastAsia="黑体"/>
          <w:sz w:val="32"/>
        </w:rPr>
      </w:pPr>
    </w:p>
    <w:p w:rsidR="00647175" w:rsidRDefault="00F443D7">
      <w:pPr>
        <w:adjustRightInd w:val="0"/>
        <w:snapToGrid w:val="0"/>
        <w:spacing w:line="332" w:lineRule="auto"/>
        <w:ind w:firstLineChars="200" w:firstLine="720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:rsidR="00647175" w:rsidRDefault="00F443D7">
      <w:pPr>
        <w:adjustRightInd w:val="0"/>
        <w:snapToGrid w:val="0"/>
        <w:spacing w:line="332" w:lineRule="auto"/>
        <w:ind w:firstLineChars="200" w:firstLine="720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关于变更注册资本并修订《公司章程》的公告</w:t>
      </w:r>
    </w:p>
    <w:p w:rsidR="00647175" w:rsidRDefault="00647175">
      <w:pPr>
        <w:adjustRightInd w:val="0"/>
        <w:snapToGrid w:val="0"/>
        <w:spacing w:line="332" w:lineRule="auto"/>
        <w:ind w:firstLineChars="200" w:firstLine="720"/>
        <w:jc w:val="center"/>
        <w:rPr>
          <w:rFonts w:ascii="黑体" w:eastAsia="黑体"/>
          <w:sz w:val="36"/>
          <w:szCs w:val="36"/>
        </w:rPr>
      </w:pPr>
    </w:p>
    <w:p w:rsidR="00647175" w:rsidRDefault="00F443D7">
      <w:pPr>
        <w:adjustRightInd w:val="0"/>
        <w:snapToGrid w:val="0"/>
        <w:spacing w:line="332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647175" w:rsidRDefault="00647175">
      <w:pPr>
        <w:adjustRightInd w:val="0"/>
        <w:snapToGrid w:val="0"/>
        <w:spacing w:line="332" w:lineRule="auto"/>
        <w:ind w:firstLineChars="200" w:firstLine="482"/>
        <w:rPr>
          <w:rFonts w:ascii="宋体" w:hAnsi="宋体"/>
          <w:b/>
          <w:sz w:val="24"/>
          <w:szCs w:val="20"/>
        </w:rPr>
      </w:pPr>
    </w:p>
    <w:p w:rsidR="00647175" w:rsidRDefault="00F443D7">
      <w:pPr>
        <w:pStyle w:val="3"/>
        <w:keepNext w:val="0"/>
        <w:keepLines w:val="0"/>
        <w:snapToGrid w:val="0"/>
        <w:spacing w:before="0" w:after="0" w:line="332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  <w:b w:val="0"/>
          <w:bCs w:val="0"/>
          <w:sz w:val="24"/>
          <w:szCs w:val="24"/>
        </w:rPr>
        <w:t>安徽铜峰电子股份有限公司（以下简称“公司”）于2023年12月28日召开 2023年第三次临时股东大会，审议通过《</w:t>
      </w:r>
      <w:sdt>
        <w:sdtPr>
          <w:rPr>
            <w:rFonts w:ascii="宋体" w:hAnsi="宋体" w:hint="eastAsia"/>
            <w:b w:val="0"/>
            <w:bCs w:val="0"/>
            <w:sz w:val="24"/>
            <w:szCs w:val="24"/>
          </w:rPr>
          <w:alias w:val="非累积投票议案表决情况_议案名称"/>
          <w:tag w:val="_GBC_16397d349277454a867ff0ffe4485ce9"/>
          <w:id w:val="210"/>
          <w:lock w:val="sdtLocked"/>
          <w:text/>
        </w:sdtPr>
        <w:sdtEndPr/>
        <w:sdtContent>
          <w:r>
            <w:rPr>
              <w:rFonts w:ascii="宋体" w:hAnsi="宋体" w:hint="eastAsia"/>
              <w:b w:val="0"/>
              <w:bCs w:val="0"/>
              <w:sz w:val="24"/>
              <w:szCs w:val="24"/>
            </w:rPr>
            <w:t>关于提请公司股东大会授权董事会办理公司2023年限制性股票激励计划相关事宜的议案</w:t>
          </w:r>
        </w:sdtContent>
      </w:sdt>
      <w:r>
        <w:rPr>
          <w:rFonts w:ascii="宋体" w:hAnsi="宋体" w:hint="eastAsia"/>
          <w:b w:val="0"/>
          <w:bCs w:val="0"/>
          <w:sz w:val="24"/>
          <w:szCs w:val="24"/>
        </w:rPr>
        <w:t>》，授权公司董事会办理实施限制性股票授予所涉及的修改《公司章程》及办理公司注册资本的变更登记。</w:t>
      </w:r>
    </w:p>
    <w:p w:rsidR="00647175" w:rsidRDefault="00F443D7">
      <w:pPr>
        <w:pStyle w:val="3"/>
        <w:keepNext w:val="0"/>
        <w:keepLines w:val="0"/>
        <w:snapToGrid w:val="0"/>
        <w:spacing w:before="0" w:after="0" w:line="332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  <w:b w:val="0"/>
          <w:bCs w:val="0"/>
          <w:sz w:val="24"/>
          <w:szCs w:val="24"/>
        </w:rPr>
        <w:t>根据《上市公司股权激励管理办法》的相关规定和公司2023年第三次临时股东大会的授权，公司董事会完成了公司限制性股票激励计划的授予登记工作，依据中国证券登记结算有限责任公司上海分公司出具的《证券变更证明》，公司注册资本由621,676,155元增加至</w:t>
      </w:r>
      <w:r>
        <w:rPr>
          <w:rFonts w:ascii="宋体" w:hAnsi="宋体"/>
          <w:b w:val="0"/>
          <w:bCs w:val="0"/>
          <w:sz w:val="24"/>
          <w:szCs w:val="24"/>
        </w:rPr>
        <w:t>630</w:t>
      </w:r>
      <w:r>
        <w:rPr>
          <w:rFonts w:ascii="宋体" w:hAnsi="宋体" w:hint="eastAsia"/>
          <w:b w:val="0"/>
          <w:bCs w:val="0"/>
          <w:sz w:val="24"/>
          <w:szCs w:val="24"/>
        </w:rPr>
        <w:t>,6</w:t>
      </w:r>
      <w:r>
        <w:rPr>
          <w:rFonts w:ascii="宋体" w:hAnsi="宋体"/>
          <w:b w:val="0"/>
          <w:bCs w:val="0"/>
          <w:sz w:val="24"/>
          <w:szCs w:val="24"/>
        </w:rPr>
        <w:t>29,155</w:t>
      </w:r>
      <w:r>
        <w:rPr>
          <w:rFonts w:ascii="宋体" w:hAnsi="宋体" w:hint="eastAsia"/>
          <w:b w:val="0"/>
          <w:bCs w:val="0"/>
          <w:sz w:val="24"/>
          <w:szCs w:val="24"/>
        </w:rPr>
        <w:t>元，总股本相应由621,676,155股增加至</w:t>
      </w:r>
      <w:r>
        <w:rPr>
          <w:rFonts w:ascii="宋体" w:hAnsi="宋体"/>
          <w:b w:val="0"/>
          <w:bCs w:val="0"/>
          <w:sz w:val="24"/>
          <w:szCs w:val="24"/>
        </w:rPr>
        <w:t>630</w:t>
      </w:r>
      <w:r>
        <w:rPr>
          <w:rFonts w:ascii="宋体" w:hAnsi="宋体" w:hint="eastAsia"/>
          <w:b w:val="0"/>
          <w:bCs w:val="0"/>
          <w:sz w:val="24"/>
          <w:szCs w:val="24"/>
        </w:rPr>
        <w:t>,6</w:t>
      </w:r>
      <w:r>
        <w:rPr>
          <w:rFonts w:ascii="宋体" w:hAnsi="宋体"/>
          <w:b w:val="0"/>
          <w:bCs w:val="0"/>
          <w:sz w:val="24"/>
          <w:szCs w:val="24"/>
        </w:rPr>
        <w:t>29,155</w:t>
      </w:r>
      <w:r>
        <w:rPr>
          <w:rFonts w:ascii="宋体" w:hAnsi="宋体" w:hint="eastAsia"/>
          <w:b w:val="0"/>
          <w:bCs w:val="0"/>
          <w:sz w:val="24"/>
          <w:szCs w:val="24"/>
        </w:rPr>
        <w:t>股。</w:t>
      </w:r>
    </w:p>
    <w:p w:rsidR="00647175" w:rsidRDefault="00F443D7">
      <w:pPr>
        <w:pStyle w:val="3"/>
        <w:keepNext w:val="0"/>
        <w:keepLines w:val="0"/>
        <w:snapToGrid w:val="0"/>
        <w:spacing w:before="0" w:after="0" w:line="332" w:lineRule="auto"/>
        <w:ind w:firstLineChars="200" w:firstLine="480"/>
        <w:rPr>
          <w:rFonts w:ascii="宋体" w:hAnsi="宋体"/>
          <w:sz w:val="24"/>
        </w:rPr>
      </w:pPr>
      <w:r w:rsidRPr="00F443D7">
        <w:rPr>
          <w:rFonts w:ascii="宋体" w:hAnsi="宋体" w:hint="eastAsia"/>
          <w:b w:val="0"/>
          <w:bCs w:val="0"/>
          <w:color w:val="000000" w:themeColor="text1"/>
          <w:sz w:val="24"/>
          <w:szCs w:val="24"/>
        </w:rPr>
        <w:t>公司于2024年3月1</w:t>
      </w:r>
      <w:r>
        <w:rPr>
          <w:rFonts w:ascii="宋体" w:hAnsi="宋体"/>
          <w:b w:val="0"/>
          <w:bCs w:val="0"/>
          <w:color w:val="000000" w:themeColor="text1"/>
          <w:sz w:val="24"/>
          <w:szCs w:val="24"/>
        </w:rPr>
        <w:t>6</w:t>
      </w:r>
      <w:r w:rsidRPr="00F443D7">
        <w:rPr>
          <w:rFonts w:ascii="宋体" w:hAnsi="宋体" w:hint="eastAsia"/>
          <w:b w:val="0"/>
          <w:bCs w:val="0"/>
          <w:color w:val="000000" w:themeColor="text1"/>
          <w:sz w:val="24"/>
          <w:szCs w:val="24"/>
        </w:rPr>
        <w:t>召开第十届董事会第二次会议，会议审议通过了《关</w:t>
      </w:r>
      <w:r>
        <w:rPr>
          <w:rFonts w:ascii="宋体" w:hAnsi="宋体" w:hint="eastAsia"/>
          <w:b w:val="0"/>
          <w:bCs w:val="0"/>
          <w:sz w:val="24"/>
          <w:szCs w:val="24"/>
        </w:rPr>
        <w:t>于变更注册资本并修订</w:t>
      </w:r>
      <w:r>
        <w:rPr>
          <w:rFonts w:ascii="宋体" w:hAnsi="宋体"/>
          <w:b w:val="0"/>
          <w:bCs w:val="0"/>
          <w:sz w:val="24"/>
          <w:szCs w:val="24"/>
        </w:rPr>
        <w:t>&lt;</w:t>
      </w:r>
      <w:r>
        <w:rPr>
          <w:rFonts w:ascii="宋体" w:hAnsi="宋体" w:hint="eastAsia"/>
          <w:b w:val="0"/>
          <w:bCs w:val="0"/>
          <w:sz w:val="24"/>
          <w:szCs w:val="24"/>
        </w:rPr>
        <w:t>公司章程</w:t>
      </w:r>
      <w:r>
        <w:rPr>
          <w:rFonts w:ascii="宋体" w:hAnsi="宋体"/>
          <w:b w:val="0"/>
          <w:bCs w:val="0"/>
          <w:sz w:val="24"/>
          <w:szCs w:val="24"/>
        </w:rPr>
        <w:t>&gt;</w:t>
      </w:r>
      <w:r>
        <w:rPr>
          <w:rFonts w:ascii="宋体" w:hAnsi="宋体" w:hint="eastAsia"/>
          <w:b w:val="0"/>
          <w:bCs w:val="0"/>
          <w:sz w:val="24"/>
          <w:szCs w:val="24"/>
        </w:rPr>
        <w:t>的议案》，修订内容具体如下：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4948"/>
        <w:gridCol w:w="3665"/>
      </w:tblGrid>
      <w:tr w:rsidR="00647175">
        <w:tc>
          <w:tcPr>
            <w:tcW w:w="4948" w:type="dxa"/>
          </w:tcPr>
          <w:p w:rsidR="00647175" w:rsidRDefault="00F443D7">
            <w:pPr>
              <w:adjustRightInd w:val="0"/>
              <w:snapToGrid w:val="0"/>
              <w:spacing w:line="332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修订前</w:t>
            </w:r>
          </w:p>
        </w:tc>
        <w:tc>
          <w:tcPr>
            <w:tcW w:w="3665" w:type="dxa"/>
          </w:tcPr>
          <w:p w:rsidR="00647175" w:rsidRDefault="00F443D7">
            <w:pPr>
              <w:adjustRightInd w:val="0"/>
              <w:snapToGrid w:val="0"/>
              <w:spacing w:line="332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修订后</w:t>
            </w:r>
          </w:p>
        </w:tc>
      </w:tr>
      <w:tr w:rsidR="00647175">
        <w:tc>
          <w:tcPr>
            <w:tcW w:w="4948" w:type="dxa"/>
          </w:tcPr>
          <w:p w:rsidR="00647175" w:rsidRDefault="00F443D7">
            <w:pPr>
              <w:numPr>
                <w:ilvl w:val="0"/>
                <w:numId w:val="1"/>
              </w:numPr>
              <w:adjustRightInd w:val="0"/>
              <w:snapToGrid w:val="0"/>
              <w:spacing w:line="332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 xml:space="preserve"> 公司注册资本为人民币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62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167.6155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万元。</w:t>
            </w:r>
          </w:p>
        </w:tc>
        <w:tc>
          <w:tcPr>
            <w:tcW w:w="3665" w:type="dxa"/>
          </w:tcPr>
          <w:p w:rsidR="00647175" w:rsidRDefault="00F443D7">
            <w:pPr>
              <w:adjustRightInd w:val="0"/>
              <w:snapToGrid w:val="0"/>
              <w:spacing w:line="332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第六条 公司注册资本为人民币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63,0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2.9155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万元。</w:t>
            </w:r>
          </w:p>
        </w:tc>
      </w:tr>
      <w:tr w:rsidR="00647175">
        <w:tc>
          <w:tcPr>
            <w:tcW w:w="4948" w:type="dxa"/>
          </w:tcPr>
          <w:p w:rsidR="00647175" w:rsidRDefault="00F443D7">
            <w:pPr>
              <w:adjustRightInd w:val="0"/>
              <w:snapToGrid w:val="0"/>
              <w:spacing w:line="332" w:lineRule="auto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第二十条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公司股份总数为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62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,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167.6155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万股，公司的股本结构为：普通股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62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,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167.6155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万股。</w:t>
            </w:r>
          </w:p>
        </w:tc>
        <w:tc>
          <w:tcPr>
            <w:tcW w:w="3665" w:type="dxa"/>
          </w:tcPr>
          <w:p w:rsidR="00647175" w:rsidRDefault="00F443D7">
            <w:pPr>
              <w:adjustRightInd w:val="0"/>
              <w:snapToGrid w:val="0"/>
              <w:spacing w:line="332" w:lineRule="auto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第二十条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公司股份总数为</w:t>
            </w:r>
            <w:bookmarkStart w:id="0" w:name="_GoBack"/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63,0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2.9155</w:t>
            </w:r>
            <w:bookmarkEnd w:id="0"/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万股，公司的股本结构为：普通股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63,0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宋体" w:hAnsi="宋体"/>
                <w:color w:val="000000" w:themeColor="text1"/>
                <w:kern w:val="0"/>
                <w:sz w:val="24"/>
              </w:rPr>
              <w:t>2.9155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万股。</w:t>
            </w:r>
          </w:p>
        </w:tc>
      </w:tr>
    </w:tbl>
    <w:p w:rsidR="00647175" w:rsidRDefault="00F443D7">
      <w:pPr>
        <w:widowControl/>
        <w:snapToGrid w:val="0"/>
        <w:spacing w:line="332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除上述修订外，《公司章程》其他条款保持不变。</w:t>
      </w:r>
    </w:p>
    <w:p w:rsidR="00647175" w:rsidRDefault="00647175">
      <w:pPr>
        <w:adjustRightInd w:val="0"/>
        <w:snapToGrid w:val="0"/>
        <w:spacing w:line="332" w:lineRule="auto"/>
        <w:ind w:firstLineChars="200" w:firstLine="480"/>
        <w:rPr>
          <w:rFonts w:ascii="宋体" w:hAnsi="宋体"/>
          <w:sz w:val="24"/>
          <w:szCs w:val="20"/>
        </w:rPr>
      </w:pPr>
    </w:p>
    <w:p w:rsidR="00647175" w:rsidRDefault="00F443D7">
      <w:pPr>
        <w:adjustRightInd w:val="0"/>
        <w:snapToGrid w:val="0"/>
        <w:spacing w:line="332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特此公告。</w:t>
      </w:r>
    </w:p>
    <w:p w:rsidR="00647175" w:rsidRDefault="00F443D7">
      <w:pPr>
        <w:adjustRightInd w:val="0"/>
        <w:snapToGrid w:val="0"/>
        <w:spacing w:line="332" w:lineRule="auto"/>
        <w:ind w:firstLineChars="1900" w:firstLine="4560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安徽铜峰电子</w:t>
      </w:r>
      <w:r>
        <w:rPr>
          <w:rFonts w:ascii="宋体" w:hAnsi="宋体"/>
          <w:sz w:val="24"/>
          <w:szCs w:val="20"/>
        </w:rPr>
        <w:t>股份有限公司董事会</w:t>
      </w:r>
    </w:p>
    <w:p w:rsidR="00647175" w:rsidRDefault="00F443D7">
      <w:pPr>
        <w:adjustRightInd w:val="0"/>
        <w:snapToGrid w:val="0"/>
        <w:spacing w:line="332" w:lineRule="auto"/>
        <w:ind w:firstLineChars="200" w:firstLine="480"/>
        <w:rPr>
          <w:rFonts w:ascii="宋体" w:hAnsi="宋体"/>
          <w:color w:val="000000" w:themeColor="text1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                                   </w:t>
      </w:r>
      <w:r>
        <w:rPr>
          <w:rFonts w:ascii="宋体" w:hAnsi="宋体" w:hint="eastAsia"/>
          <w:color w:val="000000" w:themeColor="text1"/>
          <w:sz w:val="24"/>
          <w:szCs w:val="20"/>
        </w:rPr>
        <w:t xml:space="preserve">    </w:t>
      </w:r>
      <w:r>
        <w:rPr>
          <w:rFonts w:ascii="宋体" w:hAnsi="宋体"/>
          <w:color w:val="000000" w:themeColor="text1"/>
          <w:sz w:val="24"/>
          <w:szCs w:val="20"/>
        </w:rPr>
        <w:t>202</w:t>
      </w:r>
      <w:r>
        <w:rPr>
          <w:rFonts w:ascii="宋体" w:hAnsi="宋体" w:hint="eastAsia"/>
          <w:color w:val="000000" w:themeColor="text1"/>
          <w:sz w:val="24"/>
          <w:szCs w:val="20"/>
        </w:rPr>
        <w:t>4</w:t>
      </w:r>
      <w:r>
        <w:rPr>
          <w:rFonts w:ascii="宋体" w:hAnsi="宋体"/>
          <w:color w:val="000000" w:themeColor="text1"/>
          <w:sz w:val="24"/>
          <w:szCs w:val="20"/>
        </w:rPr>
        <w:t>年</w:t>
      </w:r>
      <w:r>
        <w:rPr>
          <w:rFonts w:ascii="宋体" w:hAnsi="宋体" w:hint="eastAsia"/>
          <w:color w:val="000000" w:themeColor="text1"/>
          <w:sz w:val="24"/>
          <w:szCs w:val="20"/>
        </w:rPr>
        <w:t>3月19</w:t>
      </w:r>
      <w:r>
        <w:rPr>
          <w:rFonts w:ascii="宋体" w:hAnsi="宋体"/>
          <w:color w:val="000000" w:themeColor="text1"/>
          <w:sz w:val="24"/>
          <w:szCs w:val="20"/>
        </w:rPr>
        <w:t>日</w:t>
      </w:r>
    </w:p>
    <w:sectPr w:rsidR="00647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43F995"/>
    <w:multiLevelType w:val="singleLevel"/>
    <w:tmpl w:val="ED43F995"/>
    <w:lvl w:ilvl="0">
      <w:start w:val="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WMzZmE1MjVlYmVkMTI3NWVhMmExZmNhNWEwOWMifQ=="/>
  </w:docVars>
  <w:rsids>
    <w:rsidRoot w:val="00A74C25"/>
    <w:rsid w:val="00033EA4"/>
    <w:rsid w:val="000651E4"/>
    <w:rsid w:val="00066435"/>
    <w:rsid w:val="0008201E"/>
    <w:rsid w:val="000D668B"/>
    <w:rsid w:val="001051C4"/>
    <w:rsid w:val="00116A43"/>
    <w:rsid w:val="00132FCF"/>
    <w:rsid w:val="00192F52"/>
    <w:rsid w:val="001D2CAE"/>
    <w:rsid w:val="001E696C"/>
    <w:rsid w:val="00200CA4"/>
    <w:rsid w:val="002615C2"/>
    <w:rsid w:val="00275731"/>
    <w:rsid w:val="0027579B"/>
    <w:rsid w:val="00285ED6"/>
    <w:rsid w:val="00387A9A"/>
    <w:rsid w:val="003E32D3"/>
    <w:rsid w:val="00430C6F"/>
    <w:rsid w:val="0043138F"/>
    <w:rsid w:val="0048628A"/>
    <w:rsid w:val="004951F4"/>
    <w:rsid w:val="004A7300"/>
    <w:rsid w:val="004B5CF1"/>
    <w:rsid w:val="00547A72"/>
    <w:rsid w:val="00571641"/>
    <w:rsid w:val="005F6D25"/>
    <w:rsid w:val="00630D12"/>
    <w:rsid w:val="00647175"/>
    <w:rsid w:val="00680185"/>
    <w:rsid w:val="00697DD6"/>
    <w:rsid w:val="006B1B62"/>
    <w:rsid w:val="006C2CA5"/>
    <w:rsid w:val="006E7155"/>
    <w:rsid w:val="006F2A5C"/>
    <w:rsid w:val="00705310"/>
    <w:rsid w:val="0075734F"/>
    <w:rsid w:val="00774580"/>
    <w:rsid w:val="00776549"/>
    <w:rsid w:val="00782977"/>
    <w:rsid w:val="00796340"/>
    <w:rsid w:val="007C160A"/>
    <w:rsid w:val="007C4101"/>
    <w:rsid w:val="007D6A21"/>
    <w:rsid w:val="00812A0B"/>
    <w:rsid w:val="008A78A6"/>
    <w:rsid w:val="009129FB"/>
    <w:rsid w:val="00932BCD"/>
    <w:rsid w:val="00942C40"/>
    <w:rsid w:val="00A72A90"/>
    <w:rsid w:val="00A74C25"/>
    <w:rsid w:val="00A96229"/>
    <w:rsid w:val="00AE30E5"/>
    <w:rsid w:val="00AF5D3D"/>
    <w:rsid w:val="00B236DD"/>
    <w:rsid w:val="00B27B52"/>
    <w:rsid w:val="00B74823"/>
    <w:rsid w:val="00C05AEE"/>
    <w:rsid w:val="00C21F50"/>
    <w:rsid w:val="00C34C0D"/>
    <w:rsid w:val="00C40779"/>
    <w:rsid w:val="00C85C9B"/>
    <w:rsid w:val="00CF6E98"/>
    <w:rsid w:val="00D278B7"/>
    <w:rsid w:val="00DC0F01"/>
    <w:rsid w:val="00E06E54"/>
    <w:rsid w:val="00E67F31"/>
    <w:rsid w:val="00E83D21"/>
    <w:rsid w:val="00EB0E78"/>
    <w:rsid w:val="00EB5E3E"/>
    <w:rsid w:val="00EC19A8"/>
    <w:rsid w:val="00EF211E"/>
    <w:rsid w:val="00F443D7"/>
    <w:rsid w:val="00F54B33"/>
    <w:rsid w:val="00FB18D2"/>
    <w:rsid w:val="00FE33FA"/>
    <w:rsid w:val="03933523"/>
    <w:rsid w:val="08CC0577"/>
    <w:rsid w:val="0A027782"/>
    <w:rsid w:val="4B7B12CA"/>
    <w:rsid w:val="56DC3ED7"/>
    <w:rsid w:val="641A130C"/>
    <w:rsid w:val="724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192A1-E828-4C9D-B808-A2C23875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682</Characters>
  <Application>Microsoft Office Word</Application>
  <DocSecurity>0</DocSecurity>
  <Lines>5</Lines>
  <Paragraphs>1</Paragraphs>
  <ScaleCrop>false</ScaleCrop>
  <Company>中国微软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18</cp:revision>
  <dcterms:created xsi:type="dcterms:W3CDTF">2023-07-05T06:11:00Z</dcterms:created>
  <dcterms:modified xsi:type="dcterms:W3CDTF">2024-03-17T04:26:00Z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DDEFF715CFB441F48964D514EEC25A01_12</vt:lpwstr>
  </property>
</Properties>
</file>