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F07C0" w14:textId="70BD4873" w:rsidR="00301160" w:rsidRPr="003934E8" w:rsidRDefault="00301160" w:rsidP="00A23CA5">
      <w:pPr>
        <w:snapToGrid w:val="0"/>
        <w:spacing w:line="355" w:lineRule="auto"/>
        <w:rPr>
          <w:rFonts w:ascii="黑体" w:eastAsia="黑体" w:hAnsi="黑体" w:cs="仿宋_GB2312-WinCharSetFFFF-H"/>
          <w:kern w:val="0"/>
          <w:sz w:val="28"/>
          <w:szCs w:val="28"/>
        </w:rPr>
      </w:pPr>
      <w:r w:rsidRPr="00934DBC">
        <w:rPr>
          <w:rFonts w:ascii="黑体" w:eastAsia="黑体" w:hAnsi="黑体" w:cs="仿宋_GB2312-WinCharSetFFFF-H"/>
          <w:kern w:val="0"/>
          <w:sz w:val="28"/>
          <w:szCs w:val="28"/>
        </w:rPr>
        <w:t>证券代码：600237</w:t>
      </w:r>
      <w:r>
        <w:rPr>
          <w:rFonts w:ascii="黑体" w:eastAsia="黑体" w:hAnsi="黑体" w:cs="仿宋_GB2312-WinCharSetFFFF-H"/>
          <w:kern w:val="0"/>
          <w:sz w:val="28"/>
          <w:szCs w:val="28"/>
        </w:rPr>
        <w:t xml:space="preserve">    </w:t>
      </w:r>
      <w:r w:rsidR="00BF21D7">
        <w:rPr>
          <w:rFonts w:ascii="黑体" w:eastAsia="黑体" w:hAnsi="黑体" w:cs="仿宋_GB2312-WinCharSetFFFF-H" w:hint="eastAsia"/>
          <w:kern w:val="0"/>
          <w:sz w:val="28"/>
          <w:szCs w:val="28"/>
        </w:rPr>
        <w:t xml:space="preserve"> </w:t>
      </w:r>
      <w:r w:rsidRPr="00934DBC">
        <w:rPr>
          <w:rFonts w:ascii="黑体" w:eastAsia="黑体" w:hAnsi="黑体" w:cs="仿宋_GB2312-WinCharSetFFFF-H"/>
          <w:kern w:val="0"/>
          <w:sz w:val="28"/>
          <w:szCs w:val="28"/>
        </w:rPr>
        <w:t>证券简称：</w:t>
      </w:r>
      <w:proofErr w:type="gramStart"/>
      <w:r w:rsidRPr="00934DBC">
        <w:rPr>
          <w:rFonts w:ascii="黑体" w:eastAsia="黑体" w:hAnsi="黑体" w:cs="仿宋_GB2312-WinCharSetFFFF-H" w:hint="eastAsia"/>
          <w:kern w:val="0"/>
          <w:sz w:val="28"/>
          <w:szCs w:val="28"/>
        </w:rPr>
        <w:t>铜峰电子</w:t>
      </w:r>
      <w:proofErr w:type="gramEnd"/>
      <w:r>
        <w:rPr>
          <w:rFonts w:ascii="黑体" w:eastAsia="黑体" w:hAnsi="黑体" w:cs="仿宋_GB2312-WinCharSetFFFF-H" w:hint="eastAsia"/>
          <w:kern w:val="0"/>
          <w:sz w:val="28"/>
          <w:szCs w:val="28"/>
        </w:rPr>
        <w:t xml:space="preserve">  </w:t>
      </w:r>
      <w:r w:rsidR="00BF21D7">
        <w:rPr>
          <w:rFonts w:ascii="黑体" w:eastAsia="黑体" w:hAnsi="黑体" w:cs="仿宋_GB2312-WinCharSetFFFF-H" w:hint="eastAsia"/>
          <w:kern w:val="0"/>
          <w:sz w:val="28"/>
          <w:szCs w:val="28"/>
        </w:rPr>
        <w:t xml:space="preserve"> </w:t>
      </w:r>
      <w:r>
        <w:rPr>
          <w:rFonts w:ascii="黑体" w:eastAsia="黑体" w:hAnsi="黑体" w:cs="仿宋_GB2312-WinCharSetFFFF-H"/>
          <w:kern w:val="0"/>
          <w:sz w:val="28"/>
          <w:szCs w:val="28"/>
        </w:rPr>
        <w:t xml:space="preserve"> </w:t>
      </w:r>
      <w:r w:rsidRPr="00934DBC">
        <w:rPr>
          <w:rFonts w:ascii="黑体" w:eastAsia="黑体" w:hAnsi="黑体" w:cs="仿宋_GB2312-WinCharSetFFFF-H"/>
          <w:kern w:val="0"/>
          <w:sz w:val="28"/>
          <w:szCs w:val="28"/>
        </w:rPr>
        <w:t>编号：临20</w:t>
      </w:r>
      <w:r w:rsidRPr="00934DBC">
        <w:rPr>
          <w:rFonts w:ascii="黑体" w:eastAsia="黑体" w:hAnsi="黑体" w:cs="仿宋_GB2312-WinCharSetFFFF-H" w:hint="eastAsia"/>
          <w:kern w:val="0"/>
          <w:sz w:val="28"/>
          <w:szCs w:val="28"/>
        </w:rPr>
        <w:t>2</w:t>
      </w:r>
      <w:r w:rsidR="00297593">
        <w:rPr>
          <w:rFonts w:ascii="黑体" w:eastAsia="黑体" w:hAnsi="黑体" w:cs="仿宋_GB2312-WinCharSetFFFF-H"/>
          <w:kern w:val="0"/>
          <w:sz w:val="28"/>
          <w:szCs w:val="28"/>
        </w:rPr>
        <w:t>4</w:t>
      </w:r>
      <w:r w:rsidRPr="00934DBC">
        <w:rPr>
          <w:rFonts w:ascii="黑体" w:eastAsia="黑体" w:hAnsi="黑体" w:cs="仿宋_GB2312-WinCharSetFFFF-H"/>
          <w:kern w:val="0"/>
          <w:sz w:val="28"/>
          <w:szCs w:val="28"/>
        </w:rPr>
        <w:t>-</w:t>
      </w:r>
      <w:r w:rsidR="00BF21D7">
        <w:rPr>
          <w:rFonts w:ascii="黑体" w:eastAsia="黑体" w:hAnsi="黑体" w:cs="仿宋_GB2312-WinCharSetFFFF-H" w:hint="eastAsia"/>
          <w:kern w:val="0"/>
          <w:sz w:val="28"/>
          <w:szCs w:val="28"/>
        </w:rPr>
        <w:t>04</w:t>
      </w:r>
      <w:r w:rsidR="000F550A">
        <w:rPr>
          <w:rFonts w:ascii="黑体" w:eastAsia="黑体" w:hAnsi="黑体" w:cs="仿宋_GB2312-WinCharSetFFFF-H" w:hint="eastAsia"/>
          <w:kern w:val="0"/>
          <w:sz w:val="28"/>
          <w:szCs w:val="28"/>
        </w:rPr>
        <w:t>3</w:t>
      </w:r>
    </w:p>
    <w:p w14:paraId="2F58FCA9" w14:textId="77777777" w:rsidR="003065D6" w:rsidRPr="00301160" w:rsidRDefault="003065D6" w:rsidP="00A23CA5">
      <w:pPr>
        <w:snapToGrid w:val="0"/>
        <w:spacing w:line="355" w:lineRule="auto"/>
        <w:jc w:val="center"/>
        <w:rPr>
          <w:rFonts w:ascii="宋体" w:hAnsi="宋体" w:cs="仿宋_GB2312-WinCharSetFFFF-H"/>
          <w:kern w:val="0"/>
          <w:sz w:val="24"/>
        </w:rPr>
      </w:pPr>
    </w:p>
    <w:p w14:paraId="03E1A3CF" w14:textId="77777777" w:rsidR="003065D6" w:rsidRPr="00301160" w:rsidRDefault="00301160" w:rsidP="00A23CA5">
      <w:pPr>
        <w:snapToGrid w:val="0"/>
        <w:spacing w:line="355" w:lineRule="auto"/>
        <w:jc w:val="center"/>
        <w:rPr>
          <w:rFonts w:ascii="黑体" w:eastAsia="黑体" w:hAnsi="黑体"/>
          <w:color w:val="FF0000"/>
          <w:sz w:val="36"/>
          <w:szCs w:val="36"/>
        </w:rPr>
      </w:pPr>
      <w:r w:rsidRPr="00301160">
        <w:rPr>
          <w:rFonts w:ascii="黑体" w:eastAsia="黑体" w:hAnsi="黑体"/>
          <w:color w:val="FF0000"/>
          <w:sz w:val="36"/>
          <w:szCs w:val="36"/>
        </w:rPr>
        <w:t>安徽铜峰电子股份有限公司</w:t>
      </w:r>
    </w:p>
    <w:p w14:paraId="0255E976" w14:textId="77777777" w:rsidR="003065D6" w:rsidRPr="00301160" w:rsidRDefault="00AE40A0" w:rsidP="00A23CA5">
      <w:pPr>
        <w:snapToGrid w:val="0"/>
        <w:spacing w:line="355" w:lineRule="auto"/>
        <w:jc w:val="center"/>
        <w:rPr>
          <w:rFonts w:ascii="黑体" w:eastAsia="黑体" w:hAnsi="黑体"/>
          <w:color w:val="FF0000"/>
          <w:sz w:val="36"/>
          <w:szCs w:val="36"/>
        </w:rPr>
      </w:pPr>
      <w:bookmarkStart w:id="0" w:name="_Hlk122367013"/>
      <w:r w:rsidRPr="00301160">
        <w:rPr>
          <w:rFonts w:ascii="黑体" w:eastAsia="黑体" w:hAnsi="黑体"/>
          <w:color w:val="FF0000"/>
          <w:sz w:val="36"/>
          <w:szCs w:val="36"/>
        </w:rPr>
        <w:t>关于</w:t>
      </w:r>
      <w:r w:rsidR="00301160" w:rsidRPr="00301160">
        <w:rPr>
          <w:rFonts w:ascii="黑体" w:eastAsia="黑体" w:hAnsi="黑体"/>
          <w:color w:val="FF0000"/>
          <w:sz w:val="36"/>
          <w:szCs w:val="36"/>
        </w:rPr>
        <w:t>2023年限制性股票激励计划</w:t>
      </w:r>
      <w:r w:rsidR="00190F81">
        <w:rPr>
          <w:rFonts w:ascii="黑体" w:eastAsia="黑体" w:hAnsi="黑体" w:hint="eastAsia"/>
          <w:color w:val="FF0000"/>
          <w:sz w:val="36"/>
          <w:szCs w:val="36"/>
        </w:rPr>
        <w:t>预留</w:t>
      </w:r>
      <w:r w:rsidR="0062312D" w:rsidRPr="00301160">
        <w:rPr>
          <w:rFonts w:ascii="黑体" w:eastAsia="黑体" w:hAnsi="黑体" w:hint="eastAsia"/>
          <w:color w:val="FF0000"/>
          <w:sz w:val="36"/>
          <w:szCs w:val="36"/>
        </w:rPr>
        <w:t>授予结果</w:t>
      </w:r>
      <w:r w:rsidRPr="00301160">
        <w:rPr>
          <w:rFonts w:ascii="黑体" w:eastAsia="黑体" w:hAnsi="黑体"/>
          <w:color w:val="FF0000"/>
          <w:sz w:val="36"/>
          <w:szCs w:val="36"/>
        </w:rPr>
        <w:t>公告</w:t>
      </w:r>
    </w:p>
    <w:bookmarkEnd w:id="0"/>
    <w:p w14:paraId="34E9FC41" w14:textId="77777777" w:rsidR="003065D6" w:rsidRDefault="003065D6" w:rsidP="00A23CA5">
      <w:pPr>
        <w:snapToGrid w:val="0"/>
        <w:spacing w:line="355" w:lineRule="auto"/>
        <w:rPr>
          <w:rFonts w:ascii="宋体" w:hAnsi="宋体"/>
        </w:rPr>
      </w:pPr>
    </w:p>
    <w:p w14:paraId="0F7F1FC9" w14:textId="77777777" w:rsidR="00301160" w:rsidRDefault="00301160" w:rsidP="00A23CA5">
      <w:pPr>
        <w:snapToGrid w:val="0"/>
        <w:spacing w:line="355" w:lineRule="auto"/>
        <w:ind w:firstLineChars="200" w:firstLine="482"/>
        <w:rPr>
          <w:rFonts w:ascii="宋体" w:hAnsi="宋体"/>
          <w:b/>
          <w:bCs/>
          <w:sz w:val="24"/>
        </w:rPr>
      </w:pPr>
      <w:r w:rsidRPr="00830828">
        <w:rPr>
          <w:rFonts w:ascii="宋体" w:hAnsi="宋体"/>
          <w:b/>
          <w:bCs/>
          <w:sz w:val="24"/>
        </w:rPr>
        <w:t>本公司董事会及全体董事保证本公告内容不存在任何虚假记载、误导性陈述或者重大遗漏，并对其内容的真实性、准确性和完整性承担法律责任。</w:t>
      </w:r>
    </w:p>
    <w:p w14:paraId="1AF32828" w14:textId="77777777" w:rsidR="00CD51E1" w:rsidRPr="00E86773" w:rsidRDefault="00CD51E1" w:rsidP="00A23CA5">
      <w:pPr>
        <w:snapToGrid w:val="0"/>
        <w:spacing w:line="355" w:lineRule="auto"/>
        <w:ind w:firstLineChars="200" w:firstLine="480"/>
        <w:rPr>
          <w:rFonts w:ascii="宋体" w:hAnsi="宋体"/>
          <w:sz w:val="24"/>
        </w:rPr>
      </w:pPr>
    </w:p>
    <w:p w14:paraId="7D583A9A" w14:textId="77777777" w:rsidR="00881D46" w:rsidRPr="00881D46" w:rsidRDefault="00881D46" w:rsidP="00A23CA5">
      <w:pPr>
        <w:pStyle w:val="1"/>
        <w:snapToGrid w:val="0"/>
        <w:spacing w:line="355" w:lineRule="auto"/>
        <w:jc w:val="both"/>
        <w:rPr>
          <w:rFonts w:ascii="宋体" w:eastAsia="宋体" w:hAnsi="宋体"/>
        </w:rPr>
      </w:pPr>
      <w:bookmarkStart w:id="1" w:name="_Hlk122366932"/>
      <w:r w:rsidRPr="00881D46">
        <w:rPr>
          <w:rFonts w:ascii="宋体" w:eastAsia="宋体" w:hAnsi="宋体"/>
        </w:rPr>
        <w:t>重要内容提示：</w:t>
      </w:r>
    </w:p>
    <w:p w14:paraId="3CCD2F5D" w14:textId="2A407EC0" w:rsidR="00881D46" w:rsidRPr="00E9218C" w:rsidRDefault="00881D46" w:rsidP="00A23CA5">
      <w:pPr>
        <w:pStyle w:val="af3"/>
        <w:numPr>
          <w:ilvl w:val="0"/>
          <w:numId w:val="11"/>
        </w:numPr>
        <w:tabs>
          <w:tab w:val="left" w:pos="1061"/>
        </w:tabs>
        <w:snapToGrid w:val="0"/>
        <w:spacing w:before="0" w:line="355" w:lineRule="auto"/>
        <w:ind w:hanging="361"/>
        <w:jc w:val="both"/>
        <w:rPr>
          <w:sz w:val="24"/>
        </w:rPr>
      </w:pPr>
      <w:r w:rsidRPr="00881D46">
        <w:rPr>
          <w:sz w:val="24"/>
        </w:rPr>
        <w:t>限制性股票</w:t>
      </w:r>
      <w:r w:rsidR="0062312D">
        <w:rPr>
          <w:rFonts w:hint="eastAsia"/>
          <w:sz w:val="24"/>
        </w:rPr>
        <w:t>登记</w:t>
      </w:r>
      <w:r w:rsidRPr="00881D46">
        <w:rPr>
          <w:sz w:val="24"/>
        </w:rPr>
        <w:t>日</w:t>
      </w:r>
      <w:r w:rsidRPr="00E9218C">
        <w:rPr>
          <w:sz w:val="24"/>
        </w:rPr>
        <w:t>：</w:t>
      </w:r>
      <w:r w:rsidRPr="00DF5CBE">
        <w:rPr>
          <w:sz w:val="24"/>
        </w:rPr>
        <w:t>202</w:t>
      </w:r>
      <w:r w:rsidR="00811695" w:rsidRPr="00DF5CBE">
        <w:rPr>
          <w:sz w:val="24"/>
        </w:rPr>
        <w:t>4</w:t>
      </w:r>
      <w:r w:rsidRPr="00DF5CBE">
        <w:rPr>
          <w:spacing w:val="-30"/>
          <w:sz w:val="24"/>
        </w:rPr>
        <w:t>年</w:t>
      </w:r>
      <w:r w:rsidR="00CC6BC2" w:rsidRPr="00DF5CBE">
        <w:rPr>
          <w:rFonts w:hint="eastAsia"/>
          <w:sz w:val="24"/>
        </w:rPr>
        <w:t>10</w:t>
      </w:r>
      <w:r w:rsidRPr="00DF5CBE">
        <w:rPr>
          <w:spacing w:val="-30"/>
          <w:sz w:val="24"/>
        </w:rPr>
        <w:t>月</w:t>
      </w:r>
      <w:r w:rsidR="00A67E57" w:rsidRPr="00DF5CBE">
        <w:rPr>
          <w:rFonts w:hint="eastAsia"/>
          <w:sz w:val="24"/>
        </w:rPr>
        <w:t>14</w:t>
      </w:r>
      <w:r w:rsidRPr="00DF5CBE">
        <w:rPr>
          <w:sz w:val="24"/>
        </w:rPr>
        <w:t>日</w:t>
      </w:r>
    </w:p>
    <w:p w14:paraId="269EE1B9" w14:textId="61B9CBE4" w:rsidR="00881D46" w:rsidRPr="00E9218C" w:rsidRDefault="00881D46" w:rsidP="00A23CA5">
      <w:pPr>
        <w:pStyle w:val="af3"/>
        <w:numPr>
          <w:ilvl w:val="0"/>
          <w:numId w:val="11"/>
        </w:numPr>
        <w:tabs>
          <w:tab w:val="left" w:pos="1061"/>
        </w:tabs>
        <w:snapToGrid w:val="0"/>
        <w:spacing w:before="0" w:line="355" w:lineRule="auto"/>
        <w:ind w:hanging="361"/>
        <w:jc w:val="both"/>
        <w:rPr>
          <w:sz w:val="24"/>
        </w:rPr>
      </w:pPr>
      <w:r w:rsidRPr="00E9218C">
        <w:rPr>
          <w:sz w:val="24"/>
        </w:rPr>
        <w:t>限制性股票</w:t>
      </w:r>
      <w:r w:rsidR="0062312D">
        <w:rPr>
          <w:rFonts w:hint="eastAsia"/>
          <w:sz w:val="24"/>
        </w:rPr>
        <w:t>登记</w:t>
      </w:r>
      <w:r w:rsidRPr="00E9218C">
        <w:rPr>
          <w:sz w:val="24"/>
        </w:rPr>
        <w:t>数量：</w:t>
      </w:r>
      <w:r w:rsidR="00E86773" w:rsidRPr="00E86773">
        <w:rPr>
          <w:rFonts w:hint="eastAsia"/>
          <w:sz w:val="24"/>
          <w:lang w:val="en-US"/>
        </w:rPr>
        <w:t>12.00</w:t>
      </w:r>
      <w:r w:rsidRPr="00E9218C">
        <w:rPr>
          <w:sz w:val="24"/>
        </w:rPr>
        <w:t>万股</w:t>
      </w:r>
    </w:p>
    <w:p w14:paraId="38462F01" w14:textId="77777777" w:rsidR="00881D46" w:rsidRPr="00881D46" w:rsidRDefault="00881D46" w:rsidP="00A23CA5">
      <w:pPr>
        <w:pStyle w:val="af1"/>
        <w:snapToGrid w:val="0"/>
        <w:spacing w:line="355" w:lineRule="auto"/>
        <w:ind w:left="0"/>
        <w:jc w:val="both"/>
        <w:rPr>
          <w:sz w:val="18"/>
        </w:rPr>
      </w:pPr>
    </w:p>
    <w:p w14:paraId="77860710" w14:textId="02AAB96E" w:rsidR="0062312D" w:rsidRDefault="0062312D" w:rsidP="00A23CA5">
      <w:pPr>
        <w:pStyle w:val="af3"/>
        <w:tabs>
          <w:tab w:val="left" w:pos="882"/>
        </w:tabs>
        <w:snapToGrid w:val="0"/>
        <w:spacing w:before="0" w:line="355" w:lineRule="auto"/>
        <w:ind w:left="0" w:firstLineChars="200" w:firstLine="474"/>
        <w:jc w:val="both"/>
        <w:rPr>
          <w:spacing w:val="-3"/>
          <w:sz w:val="24"/>
        </w:rPr>
      </w:pPr>
      <w:r w:rsidRPr="0062312D">
        <w:rPr>
          <w:rFonts w:hint="eastAsia"/>
          <w:spacing w:val="-3"/>
          <w:sz w:val="24"/>
        </w:rPr>
        <w:t>根据中国证券监督管理委员会《上市公司股权激励管理办法》、上海证券交易所、中国证券登记结算有限责任公司上海分公司有关规则的规定，</w:t>
      </w:r>
      <w:r w:rsidR="00301160">
        <w:rPr>
          <w:spacing w:val="-3"/>
          <w:sz w:val="24"/>
        </w:rPr>
        <w:t>安徽铜峰电子股份有限公司</w:t>
      </w:r>
      <w:r w:rsidR="00B96A0E" w:rsidRPr="001F3C3E">
        <w:rPr>
          <w:spacing w:val="-3"/>
          <w:sz w:val="24"/>
        </w:rPr>
        <w:t>（以下简称“公司”、“</w:t>
      </w:r>
      <w:r w:rsidR="008C279B">
        <w:rPr>
          <w:spacing w:val="-3"/>
          <w:sz w:val="24"/>
        </w:rPr>
        <w:t>铜峰电子</w:t>
      </w:r>
      <w:r w:rsidR="00B96A0E" w:rsidRPr="001F3C3E">
        <w:rPr>
          <w:spacing w:val="-3"/>
          <w:sz w:val="24"/>
        </w:rPr>
        <w:t>”）</w:t>
      </w:r>
      <w:r w:rsidRPr="0062312D">
        <w:rPr>
          <w:rFonts w:hint="eastAsia"/>
          <w:spacing w:val="-3"/>
          <w:sz w:val="24"/>
        </w:rPr>
        <w:t>完成了《</w:t>
      </w:r>
      <w:r w:rsidR="00301160">
        <w:rPr>
          <w:spacing w:val="-3"/>
          <w:sz w:val="24"/>
        </w:rPr>
        <w:t>安徽铜峰电子股份有限公司</w:t>
      </w:r>
      <w:r w:rsidR="00301160">
        <w:rPr>
          <w:rFonts w:hint="eastAsia"/>
          <w:spacing w:val="-3"/>
          <w:sz w:val="24"/>
        </w:rPr>
        <w:t>2023年限制性股票激励计划</w:t>
      </w:r>
      <w:r w:rsidRPr="0062312D">
        <w:rPr>
          <w:rFonts w:hint="eastAsia"/>
          <w:spacing w:val="-3"/>
          <w:sz w:val="24"/>
        </w:rPr>
        <w:t>（草案）》（以下简称“本激励计划”）限制性股票的</w:t>
      </w:r>
      <w:r w:rsidR="00190F81">
        <w:rPr>
          <w:rFonts w:hint="eastAsia"/>
          <w:spacing w:val="-3"/>
          <w:sz w:val="24"/>
        </w:rPr>
        <w:t>预留</w:t>
      </w:r>
      <w:r w:rsidRPr="0062312D">
        <w:rPr>
          <w:rFonts w:hint="eastAsia"/>
          <w:spacing w:val="-3"/>
          <w:sz w:val="24"/>
        </w:rPr>
        <w:t>授予登记工作，现将有关事项说明如下：</w:t>
      </w:r>
    </w:p>
    <w:p w14:paraId="6A985EBD" w14:textId="77777777" w:rsidR="00A23CA5" w:rsidRDefault="00A23CA5" w:rsidP="00A23CA5">
      <w:pPr>
        <w:pStyle w:val="af3"/>
        <w:tabs>
          <w:tab w:val="left" w:pos="882"/>
        </w:tabs>
        <w:snapToGrid w:val="0"/>
        <w:spacing w:before="0" w:line="355" w:lineRule="auto"/>
        <w:ind w:left="0" w:firstLineChars="200" w:firstLine="474"/>
        <w:jc w:val="both"/>
        <w:rPr>
          <w:spacing w:val="-3"/>
          <w:sz w:val="24"/>
        </w:rPr>
      </w:pPr>
    </w:p>
    <w:p w14:paraId="6BC9D883" w14:textId="77777777" w:rsidR="00B96A0E" w:rsidRPr="00A23CA5" w:rsidRDefault="00881D46"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hint="eastAsia"/>
          <w:bCs/>
          <w:spacing w:val="-3"/>
          <w:sz w:val="24"/>
        </w:rPr>
        <w:t>一、</w:t>
      </w:r>
      <w:r w:rsidR="0062312D" w:rsidRPr="00A23CA5">
        <w:rPr>
          <w:rFonts w:ascii="黑体" w:eastAsia="黑体" w:hAnsi="黑体" w:hint="eastAsia"/>
          <w:bCs/>
          <w:spacing w:val="-3"/>
          <w:sz w:val="24"/>
        </w:rPr>
        <w:t>限制性股票授予情况</w:t>
      </w:r>
    </w:p>
    <w:p w14:paraId="3984026A" w14:textId="77777777" w:rsidR="00E814CF" w:rsidRPr="00A23CA5" w:rsidRDefault="00E814CF" w:rsidP="00A23CA5">
      <w:pPr>
        <w:pStyle w:val="af3"/>
        <w:tabs>
          <w:tab w:val="left" w:pos="882"/>
        </w:tabs>
        <w:snapToGrid w:val="0"/>
        <w:spacing w:before="0" w:line="355" w:lineRule="auto"/>
        <w:ind w:left="0" w:firstLineChars="200" w:firstLine="482"/>
        <w:jc w:val="both"/>
        <w:rPr>
          <w:b/>
          <w:sz w:val="24"/>
        </w:rPr>
      </w:pPr>
      <w:bookmarkStart w:id="2" w:name="_Hlk122901532"/>
      <w:r w:rsidRPr="00A23CA5">
        <w:rPr>
          <w:rFonts w:hint="eastAsia"/>
          <w:b/>
          <w:sz w:val="24"/>
        </w:rPr>
        <w:t>（一）限制性股票授予的具体情况</w:t>
      </w:r>
    </w:p>
    <w:p w14:paraId="185D7AD8" w14:textId="04336B3F" w:rsidR="00E814CF" w:rsidRDefault="00E86773" w:rsidP="00A23CA5">
      <w:pPr>
        <w:pStyle w:val="af3"/>
        <w:tabs>
          <w:tab w:val="left" w:pos="882"/>
        </w:tabs>
        <w:snapToGrid w:val="0"/>
        <w:spacing w:before="0" w:line="355" w:lineRule="auto"/>
        <w:ind w:left="0" w:firstLineChars="200" w:firstLine="474"/>
        <w:jc w:val="both"/>
        <w:rPr>
          <w:spacing w:val="-3"/>
          <w:sz w:val="24"/>
        </w:rPr>
      </w:pPr>
      <w:r w:rsidRPr="00E86773">
        <w:rPr>
          <w:rFonts w:hint="eastAsia"/>
          <w:spacing w:val="-3"/>
          <w:sz w:val="24"/>
          <w:lang w:val="en-US"/>
        </w:rPr>
        <w:t>2024年9月25日</w:t>
      </w:r>
      <w:r w:rsidR="00190F81" w:rsidRPr="00190F81">
        <w:rPr>
          <w:rFonts w:hint="eastAsia"/>
          <w:spacing w:val="-3"/>
          <w:sz w:val="24"/>
        </w:rPr>
        <w:t>，公司召开</w:t>
      </w:r>
      <w:r w:rsidRPr="00E86773">
        <w:rPr>
          <w:rFonts w:hint="eastAsia"/>
          <w:spacing w:val="-3"/>
          <w:sz w:val="24"/>
          <w:lang w:val="en-US"/>
        </w:rPr>
        <w:t>第十届董事会第六次会议和第十届监事会第五次会议</w:t>
      </w:r>
      <w:r w:rsidR="00190F81" w:rsidRPr="00190F81">
        <w:rPr>
          <w:rFonts w:hint="eastAsia"/>
          <w:spacing w:val="-3"/>
          <w:sz w:val="24"/>
        </w:rPr>
        <w:t>，审议通过了《关于向公司2023年限制性股票激励计划激励对象授予预留部分限制性股票的议案》</w:t>
      </w:r>
      <w:r w:rsidR="00190F81">
        <w:rPr>
          <w:rFonts w:hint="eastAsia"/>
          <w:spacing w:val="-3"/>
          <w:sz w:val="24"/>
        </w:rPr>
        <w:t>，</w:t>
      </w:r>
      <w:r w:rsidR="00E814CF" w:rsidRPr="00154C03">
        <w:rPr>
          <w:rFonts w:hint="eastAsia"/>
          <w:spacing w:val="-3"/>
          <w:sz w:val="24"/>
        </w:rPr>
        <w:t>同意以</w:t>
      </w:r>
      <w:r w:rsidRPr="00E86773">
        <w:rPr>
          <w:spacing w:val="-3"/>
          <w:sz w:val="24"/>
          <w:lang w:val="en-US"/>
        </w:rPr>
        <w:t>202</w:t>
      </w:r>
      <w:r w:rsidRPr="00E86773">
        <w:rPr>
          <w:rFonts w:hint="eastAsia"/>
          <w:spacing w:val="-3"/>
          <w:sz w:val="24"/>
          <w:lang w:val="en-US"/>
        </w:rPr>
        <w:t>4</w:t>
      </w:r>
      <w:r w:rsidRPr="00E86773">
        <w:rPr>
          <w:spacing w:val="-3"/>
          <w:sz w:val="24"/>
          <w:lang w:val="en-US"/>
        </w:rPr>
        <w:t>年</w:t>
      </w:r>
      <w:r w:rsidRPr="00E86773">
        <w:rPr>
          <w:rFonts w:hint="eastAsia"/>
          <w:spacing w:val="-3"/>
          <w:sz w:val="24"/>
          <w:lang w:val="en-US"/>
        </w:rPr>
        <w:t>9</w:t>
      </w:r>
      <w:r w:rsidRPr="00E86773">
        <w:rPr>
          <w:spacing w:val="-3"/>
          <w:sz w:val="24"/>
          <w:lang w:val="en-US"/>
        </w:rPr>
        <w:t>月</w:t>
      </w:r>
      <w:r w:rsidRPr="00E86773">
        <w:rPr>
          <w:rFonts w:hint="eastAsia"/>
          <w:spacing w:val="-3"/>
          <w:sz w:val="24"/>
          <w:lang w:val="en-US"/>
        </w:rPr>
        <w:t>2</w:t>
      </w:r>
      <w:r w:rsidRPr="00E86773">
        <w:rPr>
          <w:spacing w:val="-3"/>
          <w:sz w:val="24"/>
          <w:lang w:val="en-US"/>
        </w:rPr>
        <w:t>5日</w:t>
      </w:r>
      <w:r w:rsidR="00E814CF" w:rsidRPr="00154C03">
        <w:rPr>
          <w:rFonts w:hint="eastAsia"/>
          <w:spacing w:val="-3"/>
          <w:sz w:val="24"/>
        </w:rPr>
        <w:t>为授予日，向</w:t>
      </w:r>
      <w:r w:rsidRPr="00E86773">
        <w:rPr>
          <w:spacing w:val="-3"/>
          <w:sz w:val="24"/>
        </w:rPr>
        <w:t>4</w:t>
      </w:r>
      <w:r w:rsidR="00E814CF" w:rsidRPr="00154C03">
        <w:rPr>
          <w:rFonts w:hint="eastAsia"/>
          <w:spacing w:val="-3"/>
          <w:sz w:val="24"/>
        </w:rPr>
        <w:t>名激励对象授予</w:t>
      </w:r>
      <w:r w:rsidRPr="00E86773">
        <w:rPr>
          <w:spacing w:val="-3"/>
          <w:sz w:val="24"/>
        </w:rPr>
        <w:t>12.00</w:t>
      </w:r>
      <w:r w:rsidR="00E814CF" w:rsidRPr="00154C03">
        <w:rPr>
          <w:rFonts w:hint="eastAsia"/>
          <w:spacing w:val="-3"/>
          <w:sz w:val="24"/>
        </w:rPr>
        <w:t>万股，授予价格为</w:t>
      </w:r>
      <w:r w:rsidR="00D678BB">
        <w:rPr>
          <w:spacing w:val="-3"/>
          <w:sz w:val="24"/>
        </w:rPr>
        <w:t>3.9</w:t>
      </w:r>
      <w:r w:rsidR="00E814CF" w:rsidRPr="00154C03">
        <w:rPr>
          <w:rFonts w:hint="eastAsia"/>
          <w:spacing w:val="-3"/>
          <w:sz w:val="24"/>
        </w:rPr>
        <w:t>1元/股</w:t>
      </w:r>
      <w:r w:rsidR="00E814CF">
        <w:rPr>
          <w:rFonts w:hint="eastAsia"/>
          <w:spacing w:val="-3"/>
          <w:sz w:val="24"/>
        </w:rPr>
        <w:t>。</w:t>
      </w:r>
      <w:r w:rsidR="00E814CF" w:rsidRPr="001F3C3E">
        <w:rPr>
          <w:spacing w:val="-3"/>
          <w:sz w:val="24"/>
        </w:rPr>
        <w:t>监事会</w:t>
      </w:r>
      <w:r w:rsidR="00E814CF">
        <w:rPr>
          <w:sz w:val="24"/>
          <w:szCs w:val="24"/>
        </w:rPr>
        <w:t>对本激励计划授予相关事项</w:t>
      </w:r>
      <w:r w:rsidR="00E814CF" w:rsidRPr="001F3C3E">
        <w:rPr>
          <w:spacing w:val="-3"/>
          <w:sz w:val="24"/>
        </w:rPr>
        <w:t>发表了核查意见。</w:t>
      </w:r>
    </w:p>
    <w:bookmarkEnd w:id="2"/>
    <w:p w14:paraId="597DFF31" w14:textId="77777777" w:rsidR="0062312D" w:rsidRPr="0062312D" w:rsidRDefault="0062312D" w:rsidP="00A23CA5">
      <w:pPr>
        <w:pStyle w:val="af1"/>
        <w:snapToGrid w:val="0"/>
        <w:spacing w:line="355" w:lineRule="auto"/>
        <w:ind w:left="0" w:firstLineChars="200" w:firstLine="480"/>
        <w:jc w:val="both"/>
        <w:rPr>
          <w:lang w:val="en-US"/>
        </w:rPr>
      </w:pPr>
      <w:r w:rsidRPr="0062312D">
        <w:rPr>
          <w:rFonts w:hint="eastAsia"/>
          <w:lang w:val="en-US"/>
        </w:rPr>
        <w:t>公司本激励计划限制性股票实际授予情况如下：</w:t>
      </w:r>
    </w:p>
    <w:p w14:paraId="51B3DF81" w14:textId="102ECFAA" w:rsidR="00190F81" w:rsidRPr="006D4F0D" w:rsidRDefault="00190F81" w:rsidP="00A23CA5">
      <w:pPr>
        <w:pStyle w:val="af1"/>
        <w:snapToGrid w:val="0"/>
        <w:spacing w:line="355" w:lineRule="auto"/>
        <w:ind w:left="0" w:firstLineChars="200" w:firstLine="480"/>
        <w:jc w:val="both"/>
      </w:pPr>
      <w:r>
        <w:t>1</w:t>
      </w:r>
      <w:r>
        <w:rPr>
          <w:lang w:val="en-US"/>
        </w:rPr>
        <w:t>、</w:t>
      </w:r>
      <w:bookmarkStart w:id="3" w:name="_Hlk174708016"/>
      <w:r>
        <w:rPr>
          <w:rFonts w:hint="eastAsia"/>
          <w:lang w:val="en-US"/>
        </w:rPr>
        <w:t>预留</w:t>
      </w:r>
      <w:bookmarkEnd w:id="3"/>
      <w:r>
        <w:t>授予日：</w:t>
      </w:r>
      <w:r w:rsidR="00E86773" w:rsidRPr="00E86773">
        <w:rPr>
          <w:lang w:val="en-US"/>
        </w:rPr>
        <w:t>202</w:t>
      </w:r>
      <w:r w:rsidR="00E86773" w:rsidRPr="00E86773">
        <w:rPr>
          <w:rFonts w:hint="eastAsia"/>
          <w:lang w:val="en-US"/>
        </w:rPr>
        <w:t>4</w:t>
      </w:r>
      <w:r w:rsidR="00E86773" w:rsidRPr="00E86773">
        <w:rPr>
          <w:lang w:val="en-US"/>
        </w:rPr>
        <w:t>年</w:t>
      </w:r>
      <w:r w:rsidR="00E86773" w:rsidRPr="00E86773">
        <w:rPr>
          <w:rFonts w:hint="eastAsia"/>
          <w:lang w:val="en-US"/>
        </w:rPr>
        <w:t>9</w:t>
      </w:r>
      <w:r w:rsidR="00E86773" w:rsidRPr="00E86773">
        <w:rPr>
          <w:lang w:val="en-US"/>
        </w:rPr>
        <w:t>月</w:t>
      </w:r>
      <w:r w:rsidR="00E86773" w:rsidRPr="00E86773">
        <w:rPr>
          <w:rFonts w:hint="eastAsia"/>
          <w:lang w:val="en-US"/>
        </w:rPr>
        <w:t>2</w:t>
      </w:r>
      <w:r w:rsidR="00E86773" w:rsidRPr="00E86773">
        <w:rPr>
          <w:lang w:val="en-US"/>
        </w:rPr>
        <w:t>5日</w:t>
      </w:r>
      <w:r w:rsidRPr="006D4F0D">
        <w:t>。</w:t>
      </w:r>
    </w:p>
    <w:p w14:paraId="7C92367F" w14:textId="6EE163D4" w:rsidR="00190F81" w:rsidRPr="006D4F0D" w:rsidRDefault="00190F81" w:rsidP="00A23CA5">
      <w:pPr>
        <w:pStyle w:val="af1"/>
        <w:snapToGrid w:val="0"/>
        <w:spacing w:line="355" w:lineRule="auto"/>
        <w:ind w:left="0" w:firstLineChars="200" w:firstLine="480"/>
        <w:jc w:val="both"/>
      </w:pPr>
      <w:r w:rsidRPr="006D4F0D">
        <w:t>2</w:t>
      </w:r>
      <w:r w:rsidRPr="006D4F0D">
        <w:rPr>
          <w:lang w:val="en-US"/>
        </w:rPr>
        <w:t>、</w:t>
      </w:r>
      <w:r w:rsidRPr="0033368B">
        <w:rPr>
          <w:rFonts w:hint="eastAsia"/>
          <w:lang w:val="en-US"/>
        </w:rPr>
        <w:t>预留</w:t>
      </w:r>
      <w:r w:rsidRPr="006D4F0D">
        <w:t>授予数量：</w:t>
      </w:r>
      <w:r w:rsidR="00E86773" w:rsidRPr="00E86773">
        <w:rPr>
          <w:rFonts w:hint="eastAsia"/>
          <w:lang w:val="en-US"/>
        </w:rPr>
        <w:t>12.00</w:t>
      </w:r>
      <w:r w:rsidRPr="006D4F0D">
        <w:t>万股。</w:t>
      </w:r>
    </w:p>
    <w:p w14:paraId="10418FCA" w14:textId="57BFA943" w:rsidR="00190F81" w:rsidRPr="006D4F0D" w:rsidRDefault="00190F81" w:rsidP="00A23CA5">
      <w:pPr>
        <w:pStyle w:val="af3"/>
        <w:tabs>
          <w:tab w:val="left" w:pos="882"/>
        </w:tabs>
        <w:snapToGrid w:val="0"/>
        <w:spacing w:before="0" w:line="355" w:lineRule="auto"/>
        <w:ind w:left="0" w:firstLineChars="200" w:firstLine="480"/>
        <w:jc w:val="both"/>
        <w:rPr>
          <w:sz w:val="24"/>
        </w:rPr>
      </w:pPr>
      <w:r w:rsidRPr="006D4F0D">
        <w:rPr>
          <w:rFonts w:hint="eastAsia"/>
          <w:sz w:val="24"/>
        </w:rPr>
        <w:t>3</w:t>
      </w:r>
      <w:r w:rsidRPr="006D4F0D">
        <w:rPr>
          <w:sz w:val="24"/>
          <w:lang w:val="en-US"/>
        </w:rPr>
        <w:t>、</w:t>
      </w:r>
      <w:r w:rsidRPr="0033368B">
        <w:rPr>
          <w:rFonts w:hint="eastAsia"/>
          <w:sz w:val="24"/>
          <w:lang w:val="en-US"/>
        </w:rPr>
        <w:t>预留</w:t>
      </w:r>
      <w:r w:rsidRPr="006D4F0D">
        <w:rPr>
          <w:sz w:val="24"/>
        </w:rPr>
        <w:t>授予人数：</w:t>
      </w:r>
      <w:r w:rsidR="00E86773" w:rsidRPr="00E86773">
        <w:rPr>
          <w:rFonts w:hint="eastAsia"/>
          <w:sz w:val="24"/>
          <w:lang w:val="en-US"/>
        </w:rPr>
        <w:t>4</w:t>
      </w:r>
      <w:r w:rsidRPr="006D4F0D">
        <w:rPr>
          <w:rFonts w:hint="eastAsia"/>
          <w:sz w:val="24"/>
          <w:szCs w:val="24"/>
          <w:lang w:val="en-US"/>
        </w:rPr>
        <w:t>人</w:t>
      </w:r>
      <w:r w:rsidRPr="006D4F0D">
        <w:rPr>
          <w:sz w:val="24"/>
        </w:rPr>
        <w:t>。</w:t>
      </w:r>
    </w:p>
    <w:p w14:paraId="3E35F05B" w14:textId="77777777" w:rsidR="00190F81" w:rsidRDefault="00190F81" w:rsidP="00A23CA5">
      <w:pPr>
        <w:pStyle w:val="af3"/>
        <w:tabs>
          <w:tab w:val="left" w:pos="882"/>
        </w:tabs>
        <w:snapToGrid w:val="0"/>
        <w:spacing w:before="0" w:line="355" w:lineRule="auto"/>
        <w:ind w:left="0" w:firstLineChars="200" w:firstLine="480"/>
        <w:jc w:val="both"/>
        <w:rPr>
          <w:sz w:val="24"/>
        </w:rPr>
      </w:pPr>
      <w:r>
        <w:rPr>
          <w:rFonts w:hint="eastAsia"/>
          <w:sz w:val="24"/>
        </w:rPr>
        <w:lastRenderedPageBreak/>
        <w:t>4</w:t>
      </w:r>
      <w:r>
        <w:rPr>
          <w:sz w:val="24"/>
          <w:lang w:val="en-US"/>
        </w:rPr>
        <w:t>、</w:t>
      </w:r>
      <w:r w:rsidRPr="0033368B">
        <w:rPr>
          <w:rFonts w:hint="eastAsia"/>
          <w:sz w:val="24"/>
          <w:lang w:val="en-US"/>
        </w:rPr>
        <w:t>预留</w:t>
      </w:r>
      <w:r>
        <w:rPr>
          <w:sz w:val="24"/>
        </w:rPr>
        <w:t>授予价格：3.91元/股。</w:t>
      </w:r>
    </w:p>
    <w:p w14:paraId="3652A0D6" w14:textId="77777777" w:rsidR="00881D46" w:rsidRDefault="003075B4" w:rsidP="00A23CA5">
      <w:pPr>
        <w:pStyle w:val="af3"/>
        <w:tabs>
          <w:tab w:val="left" w:pos="882"/>
        </w:tabs>
        <w:snapToGrid w:val="0"/>
        <w:spacing w:before="0" w:line="355" w:lineRule="auto"/>
        <w:ind w:left="0" w:firstLineChars="200" w:firstLine="474"/>
        <w:jc w:val="both"/>
        <w:rPr>
          <w:sz w:val="24"/>
        </w:rPr>
      </w:pPr>
      <w:r>
        <w:rPr>
          <w:rFonts w:hint="eastAsia"/>
          <w:spacing w:val="-3"/>
          <w:sz w:val="24"/>
        </w:rPr>
        <w:t>5</w:t>
      </w:r>
      <w:r w:rsidR="00CA0201" w:rsidRPr="00CA0201">
        <w:rPr>
          <w:spacing w:val="-3"/>
          <w:sz w:val="24"/>
          <w:lang w:val="en-US"/>
        </w:rPr>
        <w:t>、</w:t>
      </w:r>
      <w:r w:rsidR="00881D46" w:rsidRPr="00881D46">
        <w:rPr>
          <w:spacing w:val="-3"/>
          <w:sz w:val="24"/>
        </w:rPr>
        <w:t>股票来源：</w:t>
      </w:r>
      <w:bookmarkStart w:id="4" w:name="_Hlk122902490"/>
      <w:r w:rsidR="00F84EFA" w:rsidRPr="00F84EFA">
        <w:rPr>
          <w:spacing w:val="-3"/>
          <w:sz w:val="24"/>
          <w:lang w:val="en-US"/>
        </w:rPr>
        <w:t>本激励计划的股票来源为</w:t>
      </w:r>
      <w:r w:rsidR="00881D46" w:rsidRPr="00881D46">
        <w:rPr>
          <w:spacing w:val="-3"/>
          <w:sz w:val="24"/>
        </w:rPr>
        <w:t>公司向激励对象定向发行</w:t>
      </w:r>
      <w:r w:rsidR="006454A1">
        <w:rPr>
          <w:rFonts w:hint="eastAsia"/>
          <w:spacing w:val="-3"/>
          <w:sz w:val="24"/>
        </w:rPr>
        <w:t>公司</w:t>
      </w:r>
      <w:r w:rsidR="00881D46" w:rsidRPr="00881D46">
        <w:rPr>
          <w:sz w:val="24"/>
        </w:rPr>
        <w:t>A股普通</w:t>
      </w:r>
      <w:r w:rsidR="00A23E3E">
        <w:rPr>
          <w:rFonts w:hint="eastAsia"/>
          <w:sz w:val="24"/>
        </w:rPr>
        <w:t>股股票</w:t>
      </w:r>
      <w:r w:rsidR="00881D46" w:rsidRPr="00881D46">
        <w:rPr>
          <w:sz w:val="24"/>
        </w:rPr>
        <w:t>。</w:t>
      </w:r>
    </w:p>
    <w:p w14:paraId="1AF0FA0D" w14:textId="77777777" w:rsidR="0062312D" w:rsidRPr="00A23CA5" w:rsidRDefault="00E814CF" w:rsidP="00A23CA5">
      <w:pPr>
        <w:pStyle w:val="af3"/>
        <w:tabs>
          <w:tab w:val="left" w:pos="882"/>
        </w:tabs>
        <w:snapToGrid w:val="0"/>
        <w:spacing w:before="0" w:line="355" w:lineRule="auto"/>
        <w:ind w:left="0" w:firstLineChars="200" w:firstLine="482"/>
        <w:jc w:val="both"/>
        <w:rPr>
          <w:b/>
          <w:sz w:val="24"/>
        </w:rPr>
      </w:pPr>
      <w:bookmarkStart w:id="5" w:name="_Hlk122902655"/>
      <w:r w:rsidRPr="00A23CA5">
        <w:rPr>
          <w:rFonts w:hint="eastAsia"/>
          <w:b/>
          <w:sz w:val="24"/>
        </w:rPr>
        <w:t>（二）</w:t>
      </w:r>
      <w:r w:rsidR="0062312D" w:rsidRPr="00A23CA5">
        <w:rPr>
          <w:b/>
          <w:sz w:val="24"/>
        </w:rPr>
        <w:t>激励</w:t>
      </w:r>
      <w:proofErr w:type="gramStart"/>
      <w:r w:rsidR="0062312D" w:rsidRPr="00A23CA5">
        <w:rPr>
          <w:b/>
          <w:sz w:val="24"/>
        </w:rPr>
        <w:t>对象获</w:t>
      </w:r>
      <w:proofErr w:type="gramEnd"/>
      <w:r w:rsidR="0062312D" w:rsidRPr="00A23CA5">
        <w:rPr>
          <w:b/>
          <w:sz w:val="24"/>
        </w:rPr>
        <w:t>授的限制性股票分配情况</w:t>
      </w:r>
    </w:p>
    <w:p w14:paraId="028EB95D" w14:textId="77777777" w:rsidR="00E86773" w:rsidRDefault="00E86773" w:rsidP="00A23CA5">
      <w:pPr>
        <w:snapToGrid w:val="0"/>
        <w:spacing w:line="355" w:lineRule="auto"/>
        <w:ind w:firstLineChars="200" w:firstLine="480"/>
        <w:rPr>
          <w:sz w:val="24"/>
          <w:szCs w:val="22"/>
        </w:rPr>
      </w:pPr>
      <w:bookmarkStart w:id="6" w:name="_Hlk151976156"/>
      <w:r>
        <w:rPr>
          <w:rFonts w:hint="eastAsia"/>
          <w:sz w:val="24"/>
          <w:szCs w:val="22"/>
        </w:rPr>
        <w:t>本计划授予的预留部分限制性股票在各激励对象间的分配情况如下表所示：</w:t>
      </w:r>
    </w:p>
    <w:tbl>
      <w:tblPr>
        <w:tblpPr w:leftFromText="180" w:rightFromText="180" w:vertAnchor="text" w:horzAnchor="margin" w:tblpXSpec="center" w:tblpY="12"/>
        <w:tblW w:w="55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1"/>
        <w:gridCol w:w="2675"/>
        <w:gridCol w:w="1978"/>
        <w:gridCol w:w="1889"/>
        <w:gridCol w:w="1485"/>
      </w:tblGrid>
      <w:tr w:rsidR="00E86773" w:rsidRPr="00FD0639" w14:paraId="73F5D2F3" w14:textId="77777777" w:rsidTr="008F1132">
        <w:trPr>
          <w:trHeight w:val="616"/>
          <w:jc w:val="center"/>
        </w:trPr>
        <w:tc>
          <w:tcPr>
            <w:tcW w:w="622" w:type="pct"/>
            <w:shd w:val="clear" w:color="auto" w:fill="D9D9D9"/>
            <w:vAlign w:val="center"/>
          </w:tcPr>
          <w:p w14:paraId="3869E0A7" w14:textId="77777777" w:rsidR="00E86773" w:rsidRPr="005E2716" w:rsidRDefault="00E86773" w:rsidP="00A23CA5">
            <w:pPr>
              <w:snapToGrid w:val="0"/>
              <w:spacing w:line="355" w:lineRule="auto"/>
              <w:jc w:val="center"/>
              <w:rPr>
                <w:b/>
                <w:szCs w:val="21"/>
              </w:rPr>
            </w:pPr>
            <w:bookmarkStart w:id="7" w:name="_Hlk177559756"/>
            <w:r w:rsidRPr="005E2716">
              <w:rPr>
                <w:rFonts w:hint="eastAsia"/>
                <w:b/>
                <w:szCs w:val="21"/>
              </w:rPr>
              <w:t>姓名</w:t>
            </w:r>
          </w:p>
        </w:tc>
        <w:tc>
          <w:tcPr>
            <w:tcW w:w="1459" w:type="pct"/>
            <w:shd w:val="clear" w:color="auto" w:fill="D9D9D9"/>
            <w:vAlign w:val="center"/>
          </w:tcPr>
          <w:p w14:paraId="50DC4587" w14:textId="77777777" w:rsidR="00E86773" w:rsidRPr="005E2716" w:rsidRDefault="00E86773" w:rsidP="00A23CA5">
            <w:pPr>
              <w:snapToGrid w:val="0"/>
              <w:spacing w:line="355" w:lineRule="auto"/>
              <w:jc w:val="center"/>
              <w:rPr>
                <w:b/>
                <w:szCs w:val="21"/>
              </w:rPr>
            </w:pPr>
            <w:r w:rsidRPr="005E2716">
              <w:rPr>
                <w:rFonts w:hint="eastAsia"/>
                <w:b/>
                <w:szCs w:val="21"/>
              </w:rPr>
              <w:t>职务</w:t>
            </w:r>
          </w:p>
        </w:tc>
        <w:tc>
          <w:tcPr>
            <w:tcW w:w="1079" w:type="pct"/>
            <w:shd w:val="clear" w:color="auto" w:fill="D9D9D9"/>
            <w:vAlign w:val="center"/>
          </w:tcPr>
          <w:p w14:paraId="2D643B3D" w14:textId="1932435D" w:rsidR="00E86773" w:rsidRPr="005E2716" w:rsidRDefault="00E86773" w:rsidP="00A23CA5">
            <w:pPr>
              <w:snapToGrid w:val="0"/>
              <w:spacing w:line="355" w:lineRule="auto"/>
              <w:jc w:val="center"/>
              <w:rPr>
                <w:b/>
                <w:szCs w:val="21"/>
              </w:rPr>
            </w:pPr>
            <w:r w:rsidRPr="005E2716">
              <w:rPr>
                <w:rFonts w:hint="eastAsia"/>
                <w:b/>
                <w:szCs w:val="21"/>
              </w:rPr>
              <w:t>获授限制性股票数量</w:t>
            </w:r>
            <w:r w:rsidR="00F01143">
              <w:rPr>
                <w:rFonts w:hint="eastAsia"/>
                <w:b/>
                <w:szCs w:val="21"/>
              </w:rPr>
              <w:t>（</w:t>
            </w:r>
            <w:r w:rsidRPr="005E2716">
              <w:rPr>
                <w:rFonts w:hint="eastAsia"/>
                <w:b/>
                <w:szCs w:val="21"/>
              </w:rPr>
              <w:t>万股</w:t>
            </w:r>
            <w:r w:rsidR="00F01143" w:rsidRPr="005E2716">
              <w:rPr>
                <w:rFonts w:hint="eastAsia"/>
                <w:b/>
                <w:szCs w:val="21"/>
              </w:rPr>
              <w:t>）</w:t>
            </w:r>
          </w:p>
        </w:tc>
        <w:tc>
          <w:tcPr>
            <w:tcW w:w="1030" w:type="pct"/>
            <w:shd w:val="clear" w:color="auto" w:fill="D9D9D9"/>
            <w:vAlign w:val="center"/>
          </w:tcPr>
          <w:p w14:paraId="79415BEA" w14:textId="77777777" w:rsidR="00E86773" w:rsidRPr="005E2716" w:rsidRDefault="00E86773" w:rsidP="00A23CA5">
            <w:pPr>
              <w:snapToGrid w:val="0"/>
              <w:spacing w:line="355" w:lineRule="auto"/>
              <w:jc w:val="center"/>
              <w:rPr>
                <w:b/>
                <w:szCs w:val="21"/>
              </w:rPr>
            </w:pPr>
            <w:r w:rsidRPr="005E2716">
              <w:rPr>
                <w:rFonts w:hint="eastAsia"/>
                <w:b/>
                <w:szCs w:val="21"/>
              </w:rPr>
              <w:t>占预留授予限制性股票总数的比例</w:t>
            </w:r>
          </w:p>
        </w:tc>
        <w:tc>
          <w:tcPr>
            <w:tcW w:w="810" w:type="pct"/>
            <w:shd w:val="clear" w:color="auto" w:fill="D9D9D9"/>
            <w:vAlign w:val="center"/>
          </w:tcPr>
          <w:p w14:paraId="5B700828" w14:textId="77777777" w:rsidR="00E86773" w:rsidRPr="005E2716" w:rsidRDefault="00E86773" w:rsidP="00A23CA5">
            <w:pPr>
              <w:snapToGrid w:val="0"/>
              <w:spacing w:line="355" w:lineRule="auto"/>
              <w:jc w:val="center"/>
              <w:rPr>
                <w:b/>
                <w:szCs w:val="21"/>
              </w:rPr>
            </w:pPr>
            <w:r w:rsidRPr="005E2716">
              <w:rPr>
                <w:rFonts w:hint="eastAsia"/>
                <w:b/>
                <w:szCs w:val="21"/>
              </w:rPr>
              <w:t>占本计划预留授予日公司股本总额的比例</w:t>
            </w:r>
          </w:p>
        </w:tc>
      </w:tr>
      <w:tr w:rsidR="00E86773" w:rsidRPr="00FD0639" w14:paraId="3A604228" w14:textId="77777777" w:rsidTr="008F1132">
        <w:trPr>
          <w:trHeight w:val="235"/>
          <w:jc w:val="center"/>
        </w:trPr>
        <w:tc>
          <w:tcPr>
            <w:tcW w:w="2081" w:type="pct"/>
            <w:gridSpan w:val="2"/>
            <w:vAlign w:val="center"/>
          </w:tcPr>
          <w:p w14:paraId="38AAAE1D" w14:textId="77777777" w:rsidR="00E86773" w:rsidRPr="005E2716" w:rsidRDefault="00E86773" w:rsidP="00A23CA5">
            <w:pPr>
              <w:snapToGrid w:val="0"/>
              <w:spacing w:line="355" w:lineRule="auto"/>
              <w:jc w:val="center"/>
              <w:rPr>
                <w:szCs w:val="21"/>
              </w:rPr>
            </w:pPr>
            <w:r w:rsidRPr="005E2716">
              <w:rPr>
                <w:rFonts w:hint="eastAsia"/>
                <w:szCs w:val="21"/>
              </w:rPr>
              <w:t>中层管理人员、核心骨干人员（</w:t>
            </w:r>
            <w:r w:rsidRPr="005E2716">
              <w:rPr>
                <w:szCs w:val="21"/>
              </w:rPr>
              <w:t>4</w:t>
            </w:r>
            <w:r w:rsidRPr="005E2716">
              <w:rPr>
                <w:rFonts w:hint="eastAsia"/>
                <w:szCs w:val="21"/>
              </w:rPr>
              <w:t>人）</w:t>
            </w:r>
          </w:p>
        </w:tc>
        <w:tc>
          <w:tcPr>
            <w:tcW w:w="1079" w:type="pct"/>
            <w:vAlign w:val="center"/>
          </w:tcPr>
          <w:p w14:paraId="06E64F80" w14:textId="77777777" w:rsidR="00E86773" w:rsidRPr="005E2716" w:rsidRDefault="00E86773" w:rsidP="00A23CA5">
            <w:pPr>
              <w:widowControl/>
              <w:snapToGrid w:val="0"/>
              <w:spacing w:line="355" w:lineRule="auto"/>
              <w:jc w:val="center"/>
              <w:textAlignment w:val="center"/>
              <w:rPr>
                <w:szCs w:val="21"/>
              </w:rPr>
            </w:pPr>
            <w:r w:rsidRPr="005E2716">
              <w:rPr>
                <w:szCs w:val="21"/>
              </w:rPr>
              <w:t>12.00</w:t>
            </w:r>
          </w:p>
        </w:tc>
        <w:tc>
          <w:tcPr>
            <w:tcW w:w="1030" w:type="pct"/>
            <w:vAlign w:val="center"/>
          </w:tcPr>
          <w:p w14:paraId="4C84A77C" w14:textId="77777777" w:rsidR="00E86773" w:rsidRPr="005E2716" w:rsidRDefault="00E86773" w:rsidP="00A23CA5">
            <w:pPr>
              <w:widowControl/>
              <w:snapToGrid w:val="0"/>
              <w:spacing w:line="355" w:lineRule="auto"/>
              <w:jc w:val="center"/>
              <w:textAlignment w:val="center"/>
              <w:rPr>
                <w:szCs w:val="21"/>
              </w:rPr>
            </w:pPr>
            <w:r w:rsidRPr="005E2716">
              <w:rPr>
                <w:szCs w:val="21"/>
              </w:rPr>
              <w:t>100%</w:t>
            </w:r>
          </w:p>
        </w:tc>
        <w:tc>
          <w:tcPr>
            <w:tcW w:w="810" w:type="pct"/>
            <w:vAlign w:val="center"/>
          </w:tcPr>
          <w:p w14:paraId="181A0C8D" w14:textId="77777777" w:rsidR="00E86773" w:rsidRPr="005E2716" w:rsidRDefault="00E86773" w:rsidP="00A23CA5">
            <w:pPr>
              <w:snapToGrid w:val="0"/>
              <w:spacing w:line="355" w:lineRule="auto"/>
              <w:jc w:val="center"/>
              <w:rPr>
                <w:szCs w:val="21"/>
              </w:rPr>
            </w:pPr>
            <w:r w:rsidRPr="005E2716">
              <w:rPr>
                <w:szCs w:val="21"/>
              </w:rPr>
              <w:t>0.02%</w:t>
            </w:r>
          </w:p>
        </w:tc>
      </w:tr>
      <w:tr w:rsidR="00E86773" w:rsidRPr="00CC083A" w14:paraId="7DE963EB" w14:textId="77777777" w:rsidTr="008F1132">
        <w:trPr>
          <w:trHeight w:val="235"/>
          <w:jc w:val="center"/>
        </w:trPr>
        <w:tc>
          <w:tcPr>
            <w:tcW w:w="2081" w:type="pct"/>
            <w:gridSpan w:val="2"/>
            <w:vAlign w:val="center"/>
          </w:tcPr>
          <w:p w14:paraId="19D6D692" w14:textId="77777777" w:rsidR="00E86773" w:rsidRPr="005E2716" w:rsidRDefault="00E86773" w:rsidP="00A23CA5">
            <w:pPr>
              <w:snapToGrid w:val="0"/>
              <w:spacing w:line="355" w:lineRule="auto"/>
              <w:jc w:val="center"/>
              <w:rPr>
                <w:szCs w:val="21"/>
              </w:rPr>
            </w:pPr>
            <w:r w:rsidRPr="005E2716">
              <w:rPr>
                <w:rFonts w:hint="eastAsia"/>
                <w:szCs w:val="21"/>
              </w:rPr>
              <w:t>预留授予合计（</w:t>
            </w:r>
            <w:r w:rsidRPr="005E2716">
              <w:rPr>
                <w:szCs w:val="21"/>
              </w:rPr>
              <w:t>4</w:t>
            </w:r>
            <w:r w:rsidRPr="005E2716">
              <w:rPr>
                <w:rFonts w:hint="eastAsia"/>
                <w:szCs w:val="21"/>
              </w:rPr>
              <w:t>人）</w:t>
            </w:r>
          </w:p>
        </w:tc>
        <w:tc>
          <w:tcPr>
            <w:tcW w:w="1079" w:type="pct"/>
            <w:vAlign w:val="center"/>
          </w:tcPr>
          <w:p w14:paraId="61F250F1" w14:textId="77777777" w:rsidR="00E86773" w:rsidRPr="005E2716" w:rsidRDefault="00E86773" w:rsidP="00A23CA5">
            <w:pPr>
              <w:widowControl/>
              <w:snapToGrid w:val="0"/>
              <w:spacing w:line="355" w:lineRule="auto"/>
              <w:jc w:val="center"/>
              <w:textAlignment w:val="center"/>
              <w:rPr>
                <w:szCs w:val="21"/>
              </w:rPr>
            </w:pPr>
            <w:r w:rsidRPr="005E2716">
              <w:rPr>
                <w:szCs w:val="21"/>
              </w:rPr>
              <w:t>12.00</w:t>
            </w:r>
          </w:p>
        </w:tc>
        <w:tc>
          <w:tcPr>
            <w:tcW w:w="1030" w:type="pct"/>
            <w:vAlign w:val="center"/>
          </w:tcPr>
          <w:p w14:paraId="28180658" w14:textId="77777777" w:rsidR="00E86773" w:rsidRPr="005E2716" w:rsidRDefault="00E86773" w:rsidP="00A23CA5">
            <w:pPr>
              <w:widowControl/>
              <w:snapToGrid w:val="0"/>
              <w:spacing w:line="355" w:lineRule="auto"/>
              <w:jc w:val="center"/>
              <w:textAlignment w:val="center"/>
              <w:rPr>
                <w:szCs w:val="21"/>
              </w:rPr>
            </w:pPr>
            <w:r w:rsidRPr="005E2716">
              <w:rPr>
                <w:szCs w:val="21"/>
              </w:rPr>
              <w:t>100%</w:t>
            </w:r>
          </w:p>
        </w:tc>
        <w:tc>
          <w:tcPr>
            <w:tcW w:w="810" w:type="pct"/>
            <w:vAlign w:val="center"/>
          </w:tcPr>
          <w:p w14:paraId="3CB81AD0" w14:textId="77777777" w:rsidR="00E86773" w:rsidRPr="00F01143" w:rsidRDefault="00E86773" w:rsidP="00A23CA5">
            <w:pPr>
              <w:snapToGrid w:val="0"/>
              <w:spacing w:line="355" w:lineRule="auto"/>
              <w:jc w:val="center"/>
              <w:rPr>
                <w:szCs w:val="21"/>
              </w:rPr>
            </w:pPr>
            <w:r w:rsidRPr="005E2716">
              <w:rPr>
                <w:szCs w:val="21"/>
              </w:rPr>
              <w:t>0.02%</w:t>
            </w:r>
          </w:p>
        </w:tc>
      </w:tr>
    </w:tbl>
    <w:bookmarkEnd w:id="5"/>
    <w:bookmarkEnd w:id="6"/>
    <w:bookmarkEnd w:id="7"/>
    <w:p w14:paraId="08277661" w14:textId="77777777" w:rsidR="0062312D" w:rsidRDefault="0062312D" w:rsidP="00A23CA5">
      <w:pPr>
        <w:snapToGrid w:val="0"/>
        <w:spacing w:line="355" w:lineRule="auto"/>
        <w:ind w:firstLineChars="200" w:firstLine="420"/>
        <w:rPr>
          <w:bCs/>
          <w:szCs w:val="21"/>
        </w:rPr>
      </w:pPr>
      <w:r>
        <w:rPr>
          <w:rFonts w:hint="eastAsia"/>
          <w:bCs/>
          <w:szCs w:val="21"/>
        </w:rPr>
        <w:t>注：</w:t>
      </w:r>
      <w:r>
        <w:rPr>
          <w:rFonts w:hint="eastAsia"/>
          <w:bCs/>
          <w:szCs w:val="21"/>
        </w:rPr>
        <w:t>1</w:t>
      </w:r>
      <w:r>
        <w:rPr>
          <w:rFonts w:hint="eastAsia"/>
          <w:bCs/>
          <w:szCs w:val="21"/>
        </w:rPr>
        <w:t>、上述部分合计数与各</w:t>
      </w:r>
      <w:proofErr w:type="gramStart"/>
      <w:r>
        <w:rPr>
          <w:rFonts w:hint="eastAsia"/>
          <w:bCs/>
          <w:szCs w:val="21"/>
        </w:rPr>
        <w:t>明细数</w:t>
      </w:r>
      <w:proofErr w:type="gramEnd"/>
      <w:r>
        <w:rPr>
          <w:rFonts w:hint="eastAsia"/>
          <w:bCs/>
          <w:szCs w:val="21"/>
        </w:rPr>
        <w:t>直接相加之和在尾数上如有差异，是由于四舍五入所造成。</w:t>
      </w:r>
    </w:p>
    <w:p w14:paraId="6CF51AF0" w14:textId="77777777" w:rsidR="00631ED9" w:rsidRDefault="00631ED9" w:rsidP="00A23CA5">
      <w:pPr>
        <w:snapToGrid w:val="0"/>
        <w:spacing w:line="355" w:lineRule="auto"/>
        <w:ind w:firstLineChars="200" w:firstLine="420"/>
        <w:rPr>
          <w:bCs/>
          <w:szCs w:val="21"/>
        </w:rPr>
      </w:pPr>
      <w:r>
        <w:rPr>
          <w:bCs/>
          <w:szCs w:val="21"/>
        </w:rPr>
        <w:t>2</w:t>
      </w:r>
      <w:r>
        <w:rPr>
          <w:bCs/>
          <w:szCs w:val="21"/>
        </w:rPr>
        <w:t>、上述任何一名激励对象通过全部有效的股权激励计划获授的本公司股票均未超过公司总股本的</w:t>
      </w:r>
      <w:r>
        <w:rPr>
          <w:bCs/>
          <w:szCs w:val="21"/>
        </w:rPr>
        <w:t>1%</w:t>
      </w:r>
      <w:r>
        <w:rPr>
          <w:bCs/>
          <w:szCs w:val="21"/>
        </w:rPr>
        <w:t>。公司全部有效的激励计划所涉及的标的股票总数累计不超过公司股本总额的</w:t>
      </w:r>
      <w:r>
        <w:rPr>
          <w:bCs/>
          <w:szCs w:val="21"/>
        </w:rPr>
        <w:t>10%</w:t>
      </w:r>
      <w:r>
        <w:rPr>
          <w:bCs/>
          <w:szCs w:val="21"/>
        </w:rPr>
        <w:t>。</w:t>
      </w:r>
    </w:p>
    <w:p w14:paraId="12174FC4" w14:textId="77777777" w:rsidR="009E6B02" w:rsidRPr="009E6B02" w:rsidRDefault="00631ED9" w:rsidP="00A23CA5">
      <w:pPr>
        <w:snapToGrid w:val="0"/>
        <w:spacing w:line="355" w:lineRule="auto"/>
        <w:ind w:firstLineChars="200" w:firstLine="420"/>
        <w:rPr>
          <w:bCs/>
          <w:szCs w:val="21"/>
        </w:rPr>
      </w:pPr>
      <w:r>
        <w:rPr>
          <w:bCs/>
          <w:szCs w:val="21"/>
        </w:rPr>
        <w:t>3</w:t>
      </w:r>
      <w:r w:rsidR="0062312D">
        <w:rPr>
          <w:bCs/>
          <w:szCs w:val="21"/>
        </w:rPr>
        <w:t>、</w:t>
      </w:r>
      <w:r w:rsidR="009E6B02" w:rsidRPr="009E6B02">
        <w:rPr>
          <w:bCs/>
          <w:szCs w:val="21"/>
        </w:rPr>
        <w:t>本激励计划激励对象未参与两个或两个以上上市公司股权激励计划，激励对象</w:t>
      </w:r>
      <w:r w:rsidR="009E6B02" w:rsidRPr="009E6B02">
        <w:rPr>
          <w:rFonts w:hint="eastAsia"/>
          <w:bCs/>
          <w:szCs w:val="21"/>
        </w:rPr>
        <w:t>不包括控股股东以外人员担任的外部董事、独立董事、监事及单独或合计持有公司</w:t>
      </w:r>
      <w:r w:rsidR="009E6B02" w:rsidRPr="009E6B02">
        <w:rPr>
          <w:bCs/>
          <w:szCs w:val="21"/>
        </w:rPr>
        <w:t>5%</w:t>
      </w:r>
      <w:r w:rsidR="009E6B02" w:rsidRPr="009E6B02">
        <w:rPr>
          <w:rFonts w:hint="eastAsia"/>
          <w:bCs/>
          <w:szCs w:val="21"/>
        </w:rPr>
        <w:t>以上股份的股东或实际控制人及其配偶、父母、子女。</w:t>
      </w:r>
    </w:p>
    <w:p w14:paraId="235BDF4E" w14:textId="1AF2F214" w:rsidR="0062312D" w:rsidRDefault="00631ED9" w:rsidP="00A23CA5">
      <w:pPr>
        <w:snapToGrid w:val="0"/>
        <w:spacing w:line="355" w:lineRule="auto"/>
        <w:ind w:firstLineChars="200" w:firstLine="420"/>
        <w:rPr>
          <w:bCs/>
          <w:szCs w:val="21"/>
        </w:rPr>
      </w:pPr>
      <w:r>
        <w:rPr>
          <w:bCs/>
          <w:szCs w:val="21"/>
        </w:rPr>
        <w:t>4</w:t>
      </w:r>
      <w:r w:rsidR="0062312D">
        <w:rPr>
          <w:rFonts w:hint="eastAsia"/>
          <w:bCs/>
          <w:szCs w:val="21"/>
        </w:rPr>
        <w:t>、董事、高级管理人员的权益授予价值按照不高于授予时薪酬总水平（含权益授予价值）的</w:t>
      </w:r>
      <w:r w:rsidR="0062312D">
        <w:rPr>
          <w:rFonts w:hint="eastAsia"/>
          <w:bCs/>
          <w:szCs w:val="21"/>
        </w:rPr>
        <w:t>40%</w:t>
      </w:r>
      <w:r w:rsidR="0062312D">
        <w:rPr>
          <w:rFonts w:hint="eastAsia"/>
          <w:bCs/>
          <w:szCs w:val="21"/>
        </w:rPr>
        <w:t>确定。</w:t>
      </w:r>
    </w:p>
    <w:p w14:paraId="753D9971" w14:textId="77777777" w:rsidR="00A23CA5" w:rsidRPr="00A23CA5" w:rsidRDefault="00A23CA5" w:rsidP="00A23CA5">
      <w:pPr>
        <w:snapToGrid w:val="0"/>
        <w:spacing w:line="355" w:lineRule="auto"/>
        <w:ind w:firstLineChars="200" w:firstLine="420"/>
        <w:rPr>
          <w:bCs/>
          <w:szCs w:val="21"/>
        </w:rPr>
      </w:pPr>
    </w:p>
    <w:bookmarkEnd w:id="4"/>
    <w:p w14:paraId="169289A8" w14:textId="77777777" w:rsidR="00F84EFA" w:rsidRPr="00BF21D7"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lang w:val="en-US"/>
        </w:rPr>
      </w:pPr>
      <w:r w:rsidRPr="00A23CA5">
        <w:rPr>
          <w:rFonts w:ascii="黑体" w:eastAsia="黑体" w:hAnsi="黑体" w:hint="eastAsia"/>
          <w:bCs/>
          <w:spacing w:val="-3"/>
          <w:sz w:val="24"/>
        </w:rPr>
        <w:t>二</w:t>
      </w:r>
      <w:r w:rsidR="00CA0201" w:rsidRPr="00A23CA5">
        <w:rPr>
          <w:rFonts w:ascii="黑体" w:eastAsia="黑体" w:hAnsi="黑体"/>
          <w:bCs/>
          <w:spacing w:val="-3"/>
          <w:sz w:val="24"/>
        </w:rPr>
        <w:t>、</w:t>
      </w:r>
      <w:r w:rsidR="00F84EFA" w:rsidRPr="00A23CA5">
        <w:rPr>
          <w:rFonts w:ascii="黑体" w:eastAsia="黑体" w:hAnsi="黑体"/>
          <w:bCs/>
          <w:spacing w:val="-3"/>
          <w:sz w:val="24"/>
        </w:rPr>
        <w:t>有效期、限售期与解除限售安排</w:t>
      </w:r>
    </w:p>
    <w:p w14:paraId="0EB7AF1A" w14:textId="77777777" w:rsidR="00CA0201" w:rsidRPr="00A23CA5" w:rsidRDefault="00E814CF" w:rsidP="00A23CA5">
      <w:pPr>
        <w:pStyle w:val="af3"/>
        <w:tabs>
          <w:tab w:val="left" w:pos="882"/>
        </w:tabs>
        <w:snapToGrid w:val="0"/>
        <w:spacing w:before="0" w:line="355" w:lineRule="auto"/>
        <w:ind w:left="0" w:firstLineChars="200" w:firstLine="482"/>
        <w:jc w:val="both"/>
        <w:rPr>
          <w:b/>
          <w:sz w:val="24"/>
        </w:rPr>
      </w:pPr>
      <w:r w:rsidRPr="00A23CA5">
        <w:rPr>
          <w:rFonts w:hint="eastAsia"/>
          <w:b/>
          <w:sz w:val="24"/>
        </w:rPr>
        <w:t>（一）</w:t>
      </w:r>
      <w:r w:rsidR="00881D46" w:rsidRPr="00A23CA5">
        <w:rPr>
          <w:b/>
          <w:sz w:val="24"/>
        </w:rPr>
        <w:t>有效期</w:t>
      </w:r>
    </w:p>
    <w:p w14:paraId="37C52D58" w14:textId="77777777" w:rsidR="00A3458B" w:rsidRDefault="00A3458B" w:rsidP="00A23CA5">
      <w:pPr>
        <w:pStyle w:val="af3"/>
        <w:tabs>
          <w:tab w:val="left" w:pos="882"/>
        </w:tabs>
        <w:snapToGrid w:val="0"/>
        <w:spacing w:before="0" w:line="355" w:lineRule="auto"/>
        <w:ind w:left="0" w:firstLineChars="200" w:firstLine="480"/>
        <w:jc w:val="both"/>
        <w:rPr>
          <w:sz w:val="24"/>
          <w:lang w:val="en-US"/>
        </w:rPr>
      </w:pPr>
      <w:r w:rsidRPr="00AD3002">
        <w:rPr>
          <w:sz w:val="24"/>
          <w:lang w:val="en-US"/>
        </w:rPr>
        <w:t>本激励计划有效期自限制性股票首次授予登记完成之日起至激励</w:t>
      </w:r>
      <w:proofErr w:type="gramStart"/>
      <w:r w:rsidRPr="00AD3002">
        <w:rPr>
          <w:sz w:val="24"/>
          <w:lang w:val="en-US"/>
        </w:rPr>
        <w:t>对象获</w:t>
      </w:r>
      <w:proofErr w:type="gramEnd"/>
      <w:r w:rsidRPr="00AD3002">
        <w:rPr>
          <w:sz w:val="24"/>
          <w:lang w:val="en-US"/>
        </w:rPr>
        <w:t>授的限制性股票全部解除限售或回购注销之日止，最长不超过72个月。</w:t>
      </w:r>
    </w:p>
    <w:p w14:paraId="22696BF3" w14:textId="77777777" w:rsidR="00CA0201" w:rsidRPr="00A23CA5" w:rsidRDefault="00E814CF" w:rsidP="00A23CA5">
      <w:pPr>
        <w:pStyle w:val="af3"/>
        <w:tabs>
          <w:tab w:val="left" w:pos="882"/>
        </w:tabs>
        <w:snapToGrid w:val="0"/>
        <w:spacing w:before="0" w:line="355" w:lineRule="auto"/>
        <w:ind w:left="0" w:firstLineChars="200" w:firstLine="482"/>
        <w:jc w:val="both"/>
        <w:rPr>
          <w:b/>
          <w:sz w:val="24"/>
        </w:rPr>
      </w:pPr>
      <w:r w:rsidRPr="00A23CA5">
        <w:rPr>
          <w:rFonts w:hint="eastAsia"/>
          <w:b/>
          <w:sz w:val="24"/>
        </w:rPr>
        <w:t>（二）</w:t>
      </w:r>
      <w:r w:rsidR="00881D46" w:rsidRPr="00A23CA5">
        <w:rPr>
          <w:b/>
          <w:sz w:val="24"/>
        </w:rPr>
        <w:t>限售期</w:t>
      </w:r>
    </w:p>
    <w:p w14:paraId="415F2118" w14:textId="4AA8C5F7" w:rsidR="00B34AF5" w:rsidRDefault="00E86773" w:rsidP="00A23CA5">
      <w:pPr>
        <w:pStyle w:val="af3"/>
        <w:tabs>
          <w:tab w:val="left" w:pos="1302"/>
        </w:tabs>
        <w:snapToGrid w:val="0"/>
        <w:spacing w:before="0" w:line="355" w:lineRule="auto"/>
        <w:ind w:left="0" w:firstLineChars="200" w:firstLine="480"/>
        <w:jc w:val="both"/>
        <w:rPr>
          <w:sz w:val="24"/>
          <w:lang w:val="en-US"/>
        </w:rPr>
      </w:pPr>
      <w:r w:rsidRPr="00E86773">
        <w:rPr>
          <w:sz w:val="24"/>
          <w:lang w:val="en-US"/>
        </w:rPr>
        <w:t>本激励计划预留授予的限制性股票限售期分别为自预留授予登记完成之日起24个月、36个月、48个月。</w:t>
      </w:r>
      <w:r w:rsidR="00B34AF5" w:rsidRPr="00AD3002">
        <w:rPr>
          <w:sz w:val="24"/>
          <w:lang w:val="en-US"/>
        </w:rPr>
        <w:t>激励对象根据本激励计划获授的限制性股票在解除限售前不得转让、不得用于担保或偿还债务。激励对象因获授的尚未解除限售的限制性股票而取得的资本公积转增股本、派发股票红利、股票拆细等股份同时按本激励计划进行限售。限售期间若出现被司法强制执行的，按有关法律法规办理。</w:t>
      </w:r>
    </w:p>
    <w:p w14:paraId="79856B0F" w14:textId="77777777" w:rsidR="009D2756" w:rsidRPr="00A23CA5" w:rsidRDefault="00E814CF" w:rsidP="00A23CA5">
      <w:pPr>
        <w:pStyle w:val="af3"/>
        <w:tabs>
          <w:tab w:val="left" w:pos="882"/>
        </w:tabs>
        <w:snapToGrid w:val="0"/>
        <w:spacing w:before="0" w:line="355" w:lineRule="auto"/>
        <w:ind w:left="0" w:firstLineChars="200" w:firstLine="482"/>
        <w:jc w:val="both"/>
        <w:rPr>
          <w:b/>
          <w:sz w:val="24"/>
        </w:rPr>
      </w:pPr>
      <w:r w:rsidRPr="00A23CA5">
        <w:rPr>
          <w:rFonts w:hint="eastAsia"/>
          <w:b/>
          <w:sz w:val="24"/>
        </w:rPr>
        <w:lastRenderedPageBreak/>
        <w:t>（三）</w:t>
      </w:r>
      <w:r w:rsidR="00881D46" w:rsidRPr="00A23CA5">
        <w:rPr>
          <w:b/>
          <w:sz w:val="24"/>
        </w:rPr>
        <w:t>解除限售期</w:t>
      </w:r>
      <w:r w:rsidR="00E22FCA" w:rsidRPr="00A23CA5">
        <w:rPr>
          <w:rFonts w:hint="eastAsia"/>
          <w:b/>
          <w:sz w:val="24"/>
        </w:rPr>
        <w:t>及各期解除限售时间安排</w:t>
      </w:r>
    </w:p>
    <w:p w14:paraId="0E691A62" w14:textId="77777777" w:rsidR="00B34AF5" w:rsidRPr="008B0670" w:rsidRDefault="00B34AF5" w:rsidP="00A23CA5">
      <w:pPr>
        <w:autoSpaceDE w:val="0"/>
        <w:autoSpaceDN w:val="0"/>
        <w:adjustRightInd w:val="0"/>
        <w:snapToGrid w:val="0"/>
        <w:spacing w:line="355" w:lineRule="auto"/>
        <w:ind w:firstLineChars="200" w:firstLine="480"/>
        <w:rPr>
          <w:sz w:val="24"/>
          <w:szCs w:val="22"/>
        </w:rPr>
      </w:pPr>
      <w:r w:rsidRPr="008B0670">
        <w:rPr>
          <w:rFonts w:hint="eastAsia"/>
          <w:sz w:val="24"/>
          <w:szCs w:val="22"/>
        </w:rPr>
        <w:t>本激励计划</w:t>
      </w:r>
      <w:r w:rsidR="00190F81">
        <w:rPr>
          <w:rFonts w:hint="eastAsia"/>
          <w:sz w:val="24"/>
          <w:szCs w:val="22"/>
        </w:rPr>
        <w:t>预留</w:t>
      </w:r>
      <w:r w:rsidRPr="008B0670">
        <w:rPr>
          <w:rFonts w:hint="eastAsia"/>
          <w:sz w:val="24"/>
          <w:szCs w:val="22"/>
        </w:rPr>
        <w:t>授予的限制性股票解除限售期及各期解除限售时间安排如下表所示：</w:t>
      </w:r>
    </w:p>
    <w:tbl>
      <w:tblPr>
        <w:tblW w:w="8765" w:type="dxa"/>
        <w:jc w:val="center"/>
        <w:tblLayout w:type="fixed"/>
        <w:tblLook w:val="04A0" w:firstRow="1" w:lastRow="0" w:firstColumn="1" w:lastColumn="0" w:noHBand="0" w:noVBand="1"/>
      </w:tblPr>
      <w:tblGrid>
        <w:gridCol w:w="2256"/>
        <w:gridCol w:w="4712"/>
        <w:gridCol w:w="1797"/>
      </w:tblGrid>
      <w:tr w:rsidR="00B34AF5" w:rsidRPr="008B0670" w14:paraId="0CA9F228" w14:textId="77777777">
        <w:trPr>
          <w:trHeight w:val="632"/>
          <w:jc w:val="center"/>
        </w:trPr>
        <w:tc>
          <w:tcPr>
            <w:tcW w:w="2256" w:type="dxa"/>
            <w:tcBorders>
              <w:top w:val="single" w:sz="12" w:space="0" w:color="000000"/>
              <w:left w:val="single" w:sz="12" w:space="0" w:color="000000"/>
              <w:bottom w:val="single" w:sz="6" w:space="0" w:color="000000"/>
              <w:right w:val="single" w:sz="4" w:space="0" w:color="000000"/>
            </w:tcBorders>
            <w:shd w:val="clear" w:color="auto" w:fill="D9D9D9"/>
            <w:vAlign w:val="center"/>
          </w:tcPr>
          <w:p w14:paraId="7125E5DC" w14:textId="77777777" w:rsidR="00B34AF5" w:rsidRPr="008B0670" w:rsidRDefault="00B34AF5" w:rsidP="00A23CA5">
            <w:pPr>
              <w:snapToGrid w:val="0"/>
              <w:spacing w:line="355" w:lineRule="auto"/>
              <w:jc w:val="center"/>
              <w:rPr>
                <w:b/>
                <w:szCs w:val="21"/>
              </w:rPr>
            </w:pPr>
            <w:bookmarkStart w:id="8" w:name="_Hlk142488696"/>
            <w:r w:rsidRPr="008B0670">
              <w:rPr>
                <w:rFonts w:hint="eastAsia"/>
                <w:b/>
                <w:szCs w:val="21"/>
              </w:rPr>
              <w:t>解除限售安排</w:t>
            </w:r>
          </w:p>
        </w:tc>
        <w:tc>
          <w:tcPr>
            <w:tcW w:w="4712" w:type="dxa"/>
            <w:tcBorders>
              <w:top w:val="single" w:sz="12" w:space="0" w:color="000000"/>
              <w:left w:val="single" w:sz="4" w:space="0" w:color="000000"/>
              <w:bottom w:val="single" w:sz="6" w:space="0" w:color="000000"/>
              <w:right w:val="single" w:sz="4" w:space="0" w:color="000000"/>
            </w:tcBorders>
            <w:shd w:val="clear" w:color="auto" w:fill="D9D9D9"/>
            <w:vAlign w:val="center"/>
          </w:tcPr>
          <w:p w14:paraId="55F014F8" w14:textId="77777777" w:rsidR="00B34AF5" w:rsidRPr="008B0670" w:rsidRDefault="00B34AF5" w:rsidP="00A23CA5">
            <w:pPr>
              <w:snapToGrid w:val="0"/>
              <w:spacing w:line="355" w:lineRule="auto"/>
              <w:jc w:val="center"/>
              <w:rPr>
                <w:b/>
                <w:szCs w:val="21"/>
              </w:rPr>
            </w:pPr>
            <w:r w:rsidRPr="008B0670">
              <w:rPr>
                <w:rFonts w:hint="eastAsia"/>
                <w:b/>
                <w:szCs w:val="21"/>
              </w:rPr>
              <w:t>解除限售时间</w:t>
            </w:r>
          </w:p>
        </w:tc>
        <w:tc>
          <w:tcPr>
            <w:tcW w:w="1797" w:type="dxa"/>
            <w:tcBorders>
              <w:top w:val="single" w:sz="12" w:space="0" w:color="000000"/>
              <w:left w:val="single" w:sz="4" w:space="0" w:color="000000"/>
              <w:bottom w:val="single" w:sz="6" w:space="0" w:color="000000"/>
              <w:right w:val="single" w:sz="12" w:space="0" w:color="000000"/>
            </w:tcBorders>
            <w:shd w:val="clear" w:color="auto" w:fill="D9D9D9"/>
            <w:vAlign w:val="center"/>
          </w:tcPr>
          <w:p w14:paraId="7661453B" w14:textId="77777777" w:rsidR="00B34AF5" w:rsidRPr="008B0670" w:rsidRDefault="00B34AF5" w:rsidP="00A23CA5">
            <w:pPr>
              <w:snapToGrid w:val="0"/>
              <w:spacing w:line="355" w:lineRule="auto"/>
              <w:jc w:val="center"/>
              <w:rPr>
                <w:b/>
                <w:szCs w:val="21"/>
              </w:rPr>
            </w:pPr>
            <w:r w:rsidRPr="008B0670">
              <w:rPr>
                <w:rFonts w:hint="eastAsia"/>
                <w:b/>
                <w:szCs w:val="21"/>
              </w:rPr>
              <w:t>可解除限售数量占获授权</w:t>
            </w:r>
            <w:proofErr w:type="gramStart"/>
            <w:r w:rsidRPr="008B0670">
              <w:rPr>
                <w:rFonts w:hint="eastAsia"/>
                <w:b/>
                <w:szCs w:val="21"/>
              </w:rPr>
              <w:t>益数量</w:t>
            </w:r>
            <w:proofErr w:type="gramEnd"/>
            <w:r w:rsidRPr="008B0670">
              <w:rPr>
                <w:rFonts w:hint="eastAsia"/>
                <w:b/>
                <w:szCs w:val="21"/>
              </w:rPr>
              <w:t>比例</w:t>
            </w:r>
          </w:p>
        </w:tc>
      </w:tr>
      <w:tr w:rsidR="00B34AF5" w:rsidRPr="008B0670" w14:paraId="51EE08C8" w14:textId="77777777">
        <w:trPr>
          <w:trHeight w:val="676"/>
          <w:jc w:val="center"/>
        </w:trPr>
        <w:tc>
          <w:tcPr>
            <w:tcW w:w="2256" w:type="dxa"/>
            <w:tcBorders>
              <w:top w:val="single" w:sz="6" w:space="0" w:color="000000"/>
              <w:left w:val="single" w:sz="12" w:space="0" w:color="000000"/>
              <w:bottom w:val="single" w:sz="4" w:space="0" w:color="000000"/>
              <w:right w:val="single" w:sz="4" w:space="0" w:color="000000"/>
            </w:tcBorders>
            <w:vAlign w:val="center"/>
          </w:tcPr>
          <w:p w14:paraId="6EBB969C" w14:textId="77777777" w:rsidR="00B34AF5" w:rsidRPr="008B0670" w:rsidRDefault="00B34AF5" w:rsidP="00A23CA5">
            <w:pPr>
              <w:snapToGrid w:val="0"/>
              <w:spacing w:line="355" w:lineRule="auto"/>
              <w:jc w:val="center"/>
              <w:rPr>
                <w:szCs w:val="21"/>
              </w:rPr>
            </w:pPr>
            <w:r w:rsidRPr="008B0670">
              <w:rPr>
                <w:rFonts w:hint="eastAsia"/>
                <w:szCs w:val="21"/>
              </w:rPr>
              <w:t>第一个解除限售期</w:t>
            </w:r>
          </w:p>
        </w:tc>
        <w:tc>
          <w:tcPr>
            <w:tcW w:w="4712" w:type="dxa"/>
            <w:tcBorders>
              <w:top w:val="single" w:sz="6" w:space="0" w:color="000000"/>
              <w:left w:val="single" w:sz="4" w:space="0" w:color="000000"/>
              <w:bottom w:val="single" w:sz="4" w:space="0" w:color="000000"/>
              <w:right w:val="single" w:sz="4" w:space="0" w:color="000000"/>
            </w:tcBorders>
            <w:vAlign w:val="center"/>
          </w:tcPr>
          <w:p w14:paraId="2D8DD3B6" w14:textId="77777777" w:rsidR="00B34AF5" w:rsidRPr="008B0670" w:rsidRDefault="00B34AF5" w:rsidP="00A23CA5">
            <w:pPr>
              <w:autoSpaceDE w:val="0"/>
              <w:autoSpaceDN w:val="0"/>
              <w:adjustRightInd w:val="0"/>
              <w:snapToGrid w:val="0"/>
              <w:spacing w:line="355" w:lineRule="auto"/>
              <w:jc w:val="left"/>
              <w:rPr>
                <w:bCs/>
                <w:kern w:val="0"/>
                <w:szCs w:val="21"/>
              </w:rPr>
            </w:pPr>
            <w:proofErr w:type="gramStart"/>
            <w:r w:rsidRPr="008B0670">
              <w:rPr>
                <w:rFonts w:hint="eastAsia"/>
                <w:szCs w:val="22"/>
              </w:rPr>
              <w:t>自相应</w:t>
            </w:r>
            <w:proofErr w:type="gramEnd"/>
            <w:r w:rsidRPr="008B0670">
              <w:rPr>
                <w:rFonts w:hint="eastAsia"/>
                <w:szCs w:val="22"/>
              </w:rPr>
              <w:t>批次限制性股票登记完成之日起</w:t>
            </w:r>
            <w:r w:rsidRPr="008B0670">
              <w:rPr>
                <w:szCs w:val="22"/>
              </w:rPr>
              <w:t>24</w:t>
            </w:r>
            <w:r w:rsidRPr="008B0670">
              <w:rPr>
                <w:rFonts w:hint="eastAsia"/>
                <w:szCs w:val="22"/>
              </w:rPr>
              <w:t>个月后的首个交易日起</w:t>
            </w:r>
            <w:proofErr w:type="gramStart"/>
            <w:r w:rsidRPr="008B0670">
              <w:rPr>
                <w:rFonts w:hint="eastAsia"/>
                <w:szCs w:val="22"/>
              </w:rPr>
              <w:t>至相应</w:t>
            </w:r>
            <w:proofErr w:type="gramEnd"/>
            <w:r w:rsidRPr="008B0670">
              <w:rPr>
                <w:rFonts w:hint="eastAsia"/>
                <w:szCs w:val="22"/>
              </w:rPr>
              <w:t>批次限制性股票登记完成之日起</w:t>
            </w:r>
            <w:r w:rsidRPr="008B0670">
              <w:rPr>
                <w:szCs w:val="22"/>
              </w:rPr>
              <w:t>36</w:t>
            </w:r>
            <w:r w:rsidRPr="008B0670">
              <w:rPr>
                <w:rFonts w:hint="eastAsia"/>
                <w:szCs w:val="22"/>
              </w:rPr>
              <w:t>个月内的最后一个交易日当日止</w:t>
            </w:r>
          </w:p>
        </w:tc>
        <w:tc>
          <w:tcPr>
            <w:tcW w:w="1797" w:type="dxa"/>
            <w:tcBorders>
              <w:top w:val="single" w:sz="6" w:space="0" w:color="000000"/>
              <w:left w:val="single" w:sz="4" w:space="0" w:color="000000"/>
              <w:bottom w:val="single" w:sz="4" w:space="0" w:color="000000"/>
              <w:right w:val="single" w:sz="12" w:space="0" w:color="000000"/>
            </w:tcBorders>
            <w:vAlign w:val="center"/>
          </w:tcPr>
          <w:p w14:paraId="34FFBC78" w14:textId="77777777" w:rsidR="00B34AF5" w:rsidRPr="008B0670" w:rsidRDefault="00B34AF5" w:rsidP="00A23CA5">
            <w:pPr>
              <w:autoSpaceDE w:val="0"/>
              <w:autoSpaceDN w:val="0"/>
              <w:adjustRightInd w:val="0"/>
              <w:snapToGrid w:val="0"/>
              <w:spacing w:line="355" w:lineRule="auto"/>
              <w:jc w:val="center"/>
              <w:rPr>
                <w:bCs/>
                <w:szCs w:val="21"/>
              </w:rPr>
            </w:pPr>
            <w:r w:rsidRPr="008B0670">
              <w:rPr>
                <w:bCs/>
                <w:szCs w:val="21"/>
              </w:rPr>
              <w:t>33%</w:t>
            </w:r>
          </w:p>
        </w:tc>
      </w:tr>
      <w:tr w:rsidR="00B34AF5" w:rsidRPr="008B0670" w14:paraId="1BDC7AEC" w14:textId="77777777">
        <w:trPr>
          <w:trHeight w:val="634"/>
          <w:jc w:val="center"/>
        </w:trPr>
        <w:tc>
          <w:tcPr>
            <w:tcW w:w="2256" w:type="dxa"/>
            <w:tcBorders>
              <w:top w:val="single" w:sz="4" w:space="0" w:color="000000"/>
              <w:left w:val="single" w:sz="12" w:space="0" w:color="000000"/>
              <w:bottom w:val="single" w:sz="4" w:space="0" w:color="000000"/>
              <w:right w:val="single" w:sz="4" w:space="0" w:color="000000"/>
            </w:tcBorders>
            <w:vAlign w:val="center"/>
          </w:tcPr>
          <w:p w14:paraId="33D3BB8C" w14:textId="77777777" w:rsidR="00B34AF5" w:rsidRPr="008B0670" w:rsidRDefault="00B34AF5" w:rsidP="00A23CA5">
            <w:pPr>
              <w:snapToGrid w:val="0"/>
              <w:spacing w:line="355" w:lineRule="auto"/>
              <w:jc w:val="center"/>
              <w:rPr>
                <w:szCs w:val="21"/>
              </w:rPr>
            </w:pPr>
            <w:r w:rsidRPr="008B0670">
              <w:rPr>
                <w:rFonts w:hint="eastAsia"/>
                <w:szCs w:val="21"/>
              </w:rPr>
              <w:t>第二个解除限售期</w:t>
            </w:r>
          </w:p>
        </w:tc>
        <w:tc>
          <w:tcPr>
            <w:tcW w:w="4712" w:type="dxa"/>
            <w:tcBorders>
              <w:top w:val="single" w:sz="4" w:space="0" w:color="000000"/>
              <w:left w:val="single" w:sz="4" w:space="0" w:color="000000"/>
              <w:bottom w:val="single" w:sz="4" w:space="0" w:color="000000"/>
              <w:right w:val="single" w:sz="4" w:space="0" w:color="000000"/>
            </w:tcBorders>
            <w:vAlign w:val="center"/>
          </w:tcPr>
          <w:p w14:paraId="5CCEA9FF" w14:textId="77777777" w:rsidR="00B34AF5" w:rsidRPr="008B0670" w:rsidRDefault="00B34AF5" w:rsidP="00A23CA5">
            <w:pPr>
              <w:snapToGrid w:val="0"/>
              <w:spacing w:line="355" w:lineRule="auto"/>
              <w:rPr>
                <w:bCs/>
                <w:szCs w:val="21"/>
              </w:rPr>
            </w:pPr>
            <w:proofErr w:type="gramStart"/>
            <w:r w:rsidRPr="008B0670">
              <w:rPr>
                <w:rFonts w:hint="eastAsia"/>
                <w:szCs w:val="21"/>
              </w:rPr>
              <w:t>自</w:t>
            </w:r>
            <w:r w:rsidRPr="008B0670">
              <w:rPr>
                <w:rFonts w:hint="eastAsia"/>
                <w:szCs w:val="22"/>
              </w:rPr>
              <w:t>相应</w:t>
            </w:r>
            <w:proofErr w:type="gramEnd"/>
            <w:r w:rsidRPr="008B0670">
              <w:rPr>
                <w:rFonts w:hint="eastAsia"/>
                <w:szCs w:val="22"/>
              </w:rPr>
              <w:t>批次</w:t>
            </w:r>
            <w:r w:rsidRPr="008B0670">
              <w:rPr>
                <w:rFonts w:hint="eastAsia"/>
                <w:szCs w:val="21"/>
              </w:rPr>
              <w:t>限制性股票登记完成之日起</w:t>
            </w:r>
            <w:r w:rsidRPr="008B0670">
              <w:rPr>
                <w:szCs w:val="21"/>
              </w:rPr>
              <w:t>36</w:t>
            </w:r>
            <w:r w:rsidRPr="008B0670">
              <w:rPr>
                <w:rFonts w:hint="eastAsia"/>
                <w:szCs w:val="21"/>
              </w:rPr>
              <w:t>个月后的首个交易日起</w:t>
            </w:r>
            <w:proofErr w:type="gramStart"/>
            <w:r w:rsidRPr="008B0670">
              <w:rPr>
                <w:rFonts w:hint="eastAsia"/>
                <w:szCs w:val="21"/>
              </w:rPr>
              <w:t>至</w:t>
            </w:r>
            <w:r w:rsidRPr="008B0670">
              <w:rPr>
                <w:rFonts w:hint="eastAsia"/>
                <w:szCs w:val="22"/>
              </w:rPr>
              <w:t>相应</w:t>
            </w:r>
            <w:proofErr w:type="gramEnd"/>
            <w:r w:rsidRPr="008B0670">
              <w:rPr>
                <w:rFonts w:hint="eastAsia"/>
                <w:szCs w:val="22"/>
              </w:rPr>
              <w:t>批次</w:t>
            </w:r>
            <w:r w:rsidRPr="008B0670">
              <w:rPr>
                <w:rFonts w:hint="eastAsia"/>
                <w:szCs w:val="21"/>
              </w:rPr>
              <w:t>限制性股票登记完成之日起</w:t>
            </w:r>
            <w:r w:rsidRPr="008B0670">
              <w:rPr>
                <w:szCs w:val="21"/>
              </w:rPr>
              <w:t>48</w:t>
            </w:r>
            <w:r w:rsidRPr="008B0670">
              <w:rPr>
                <w:rFonts w:hint="eastAsia"/>
                <w:szCs w:val="21"/>
              </w:rPr>
              <w:t>个月内的最后一个交易日当日止</w:t>
            </w:r>
          </w:p>
        </w:tc>
        <w:tc>
          <w:tcPr>
            <w:tcW w:w="1797" w:type="dxa"/>
            <w:tcBorders>
              <w:top w:val="single" w:sz="4" w:space="0" w:color="000000"/>
              <w:left w:val="single" w:sz="4" w:space="0" w:color="000000"/>
              <w:bottom w:val="single" w:sz="4" w:space="0" w:color="000000"/>
              <w:right w:val="single" w:sz="12" w:space="0" w:color="000000"/>
            </w:tcBorders>
            <w:vAlign w:val="center"/>
          </w:tcPr>
          <w:p w14:paraId="7F5C880E" w14:textId="77777777" w:rsidR="00B34AF5" w:rsidRPr="008B0670" w:rsidRDefault="00B34AF5" w:rsidP="00A23CA5">
            <w:pPr>
              <w:autoSpaceDE w:val="0"/>
              <w:autoSpaceDN w:val="0"/>
              <w:adjustRightInd w:val="0"/>
              <w:snapToGrid w:val="0"/>
              <w:spacing w:line="355" w:lineRule="auto"/>
              <w:jc w:val="center"/>
              <w:rPr>
                <w:bCs/>
                <w:szCs w:val="21"/>
              </w:rPr>
            </w:pPr>
            <w:r w:rsidRPr="008B0670">
              <w:rPr>
                <w:bCs/>
                <w:szCs w:val="21"/>
              </w:rPr>
              <w:t>33%</w:t>
            </w:r>
          </w:p>
        </w:tc>
      </w:tr>
      <w:tr w:rsidR="00B34AF5" w:rsidRPr="008B0670" w14:paraId="28D57FE5" w14:textId="77777777">
        <w:trPr>
          <w:trHeight w:val="744"/>
          <w:jc w:val="center"/>
        </w:trPr>
        <w:tc>
          <w:tcPr>
            <w:tcW w:w="2256" w:type="dxa"/>
            <w:tcBorders>
              <w:top w:val="single" w:sz="4" w:space="0" w:color="000000"/>
              <w:left w:val="single" w:sz="12" w:space="0" w:color="000000"/>
              <w:bottom w:val="single" w:sz="12" w:space="0" w:color="000000"/>
              <w:right w:val="single" w:sz="4" w:space="0" w:color="000000"/>
            </w:tcBorders>
            <w:vAlign w:val="center"/>
          </w:tcPr>
          <w:p w14:paraId="746470B2" w14:textId="77777777" w:rsidR="00B34AF5" w:rsidRPr="008B0670" w:rsidRDefault="00B34AF5" w:rsidP="00A23CA5">
            <w:pPr>
              <w:snapToGrid w:val="0"/>
              <w:spacing w:line="355" w:lineRule="auto"/>
              <w:jc w:val="center"/>
              <w:rPr>
                <w:szCs w:val="21"/>
              </w:rPr>
            </w:pPr>
            <w:r w:rsidRPr="008B0670">
              <w:rPr>
                <w:rFonts w:hint="eastAsia"/>
                <w:szCs w:val="21"/>
              </w:rPr>
              <w:t>第三个解除限售期</w:t>
            </w:r>
          </w:p>
        </w:tc>
        <w:tc>
          <w:tcPr>
            <w:tcW w:w="4712" w:type="dxa"/>
            <w:tcBorders>
              <w:top w:val="single" w:sz="4" w:space="0" w:color="000000"/>
              <w:left w:val="single" w:sz="4" w:space="0" w:color="000000"/>
              <w:bottom w:val="single" w:sz="12" w:space="0" w:color="000000"/>
              <w:right w:val="single" w:sz="4" w:space="0" w:color="000000"/>
            </w:tcBorders>
            <w:vAlign w:val="center"/>
          </w:tcPr>
          <w:p w14:paraId="4C444903" w14:textId="77777777" w:rsidR="00B34AF5" w:rsidRPr="008B0670" w:rsidRDefault="00B34AF5" w:rsidP="00A23CA5">
            <w:pPr>
              <w:snapToGrid w:val="0"/>
              <w:spacing w:line="355" w:lineRule="auto"/>
              <w:rPr>
                <w:bCs/>
                <w:szCs w:val="21"/>
              </w:rPr>
            </w:pPr>
            <w:proofErr w:type="gramStart"/>
            <w:r w:rsidRPr="008B0670">
              <w:rPr>
                <w:rFonts w:hint="eastAsia"/>
                <w:szCs w:val="21"/>
              </w:rPr>
              <w:t>自</w:t>
            </w:r>
            <w:r w:rsidRPr="008B0670">
              <w:rPr>
                <w:rFonts w:hint="eastAsia"/>
                <w:szCs w:val="22"/>
              </w:rPr>
              <w:t>相应</w:t>
            </w:r>
            <w:proofErr w:type="gramEnd"/>
            <w:r w:rsidRPr="008B0670">
              <w:rPr>
                <w:rFonts w:hint="eastAsia"/>
                <w:szCs w:val="22"/>
              </w:rPr>
              <w:t>批次</w:t>
            </w:r>
            <w:r w:rsidRPr="008B0670">
              <w:rPr>
                <w:rFonts w:hint="eastAsia"/>
                <w:szCs w:val="21"/>
              </w:rPr>
              <w:t>限制性股票登记完成之日起</w:t>
            </w:r>
            <w:r w:rsidRPr="008B0670">
              <w:rPr>
                <w:szCs w:val="21"/>
              </w:rPr>
              <w:t>48</w:t>
            </w:r>
            <w:r w:rsidRPr="008B0670">
              <w:rPr>
                <w:rFonts w:hint="eastAsia"/>
                <w:szCs w:val="21"/>
              </w:rPr>
              <w:t>个月后的首个交易日起</w:t>
            </w:r>
            <w:proofErr w:type="gramStart"/>
            <w:r w:rsidRPr="008B0670">
              <w:rPr>
                <w:rFonts w:hint="eastAsia"/>
                <w:szCs w:val="21"/>
              </w:rPr>
              <w:t>至</w:t>
            </w:r>
            <w:r w:rsidRPr="008B0670">
              <w:rPr>
                <w:rFonts w:hint="eastAsia"/>
                <w:szCs w:val="22"/>
              </w:rPr>
              <w:t>相应</w:t>
            </w:r>
            <w:proofErr w:type="gramEnd"/>
            <w:r w:rsidRPr="008B0670">
              <w:rPr>
                <w:rFonts w:hint="eastAsia"/>
                <w:szCs w:val="22"/>
              </w:rPr>
              <w:t>批次</w:t>
            </w:r>
            <w:r w:rsidRPr="008B0670">
              <w:rPr>
                <w:rFonts w:hint="eastAsia"/>
                <w:szCs w:val="21"/>
              </w:rPr>
              <w:t>限制性股票登记完成之日起</w:t>
            </w:r>
            <w:r w:rsidRPr="008B0670">
              <w:rPr>
                <w:szCs w:val="21"/>
              </w:rPr>
              <w:t>60</w:t>
            </w:r>
            <w:r w:rsidRPr="008B0670">
              <w:rPr>
                <w:rFonts w:hint="eastAsia"/>
                <w:szCs w:val="21"/>
              </w:rPr>
              <w:t>个月内的最后一个交易日当日止</w:t>
            </w:r>
          </w:p>
        </w:tc>
        <w:tc>
          <w:tcPr>
            <w:tcW w:w="1797" w:type="dxa"/>
            <w:tcBorders>
              <w:top w:val="single" w:sz="4" w:space="0" w:color="000000"/>
              <w:left w:val="single" w:sz="4" w:space="0" w:color="000000"/>
              <w:bottom w:val="single" w:sz="12" w:space="0" w:color="000000"/>
              <w:right w:val="single" w:sz="12" w:space="0" w:color="000000"/>
            </w:tcBorders>
            <w:vAlign w:val="center"/>
          </w:tcPr>
          <w:p w14:paraId="72B1C4BD" w14:textId="77777777" w:rsidR="00B34AF5" w:rsidRPr="008B0670" w:rsidRDefault="00B34AF5" w:rsidP="00A23CA5">
            <w:pPr>
              <w:autoSpaceDE w:val="0"/>
              <w:autoSpaceDN w:val="0"/>
              <w:adjustRightInd w:val="0"/>
              <w:snapToGrid w:val="0"/>
              <w:spacing w:line="355" w:lineRule="auto"/>
              <w:jc w:val="center"/>
              <w:rPr>
                <w:bCs/>
                <w:szCs w:val="21"/>
              </w:rPr>
            </w:pPr>
            <w:r w:rsidRPr="008B0670">
              <w:rPr>
                <w:bCs/>
                <w:szCs w:val="21"/>
              </w:rPr>
              <w:t>34%</w:t>
            </w:r>
          </w:p>
        </w:tc>
      </w:tr>
      <w:bookmarkEnd w:id="8"/>
    </w:tbl>
    <w:p w14:paraId="25E4ED4B" w14:textId="77777777" w:rsidR="00A23CA5" w:rsidRDefault="00A23CA5"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p>
    <w:p w14:paraId="21984A23" w14:textId="09914A88" w:rsidR="00144151"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hint="eastAsia"/>
          <w:bCs/>
          <w:spacing w:val="-3"/>
          <w:sz w:val="24"/>
        </w:rPr>
        <w:t>三</w:t>
      </w:r>
      <w:r w:rsidR="00144151" w:rsidRPr="00A23CA5">
        <w:rPr>
          <w:rFonts w:ascii="黑体" w:eastAsia="黑体" w:hAnsi="黑体"/>
          <w:bCs/>
          <w:spacing w:val="-3"/>
          <w:sz w:val="24"/>
        </w:rPr>
        <w:t>、</w:t>
      </w:r>
      <w:bookmarkStart w:id="9" w:name="_Hlk122902755"/>
      <w:r w:rsidRPr="00A23CA5">
        <w:rPr>
          <w:rFonts w:ascii="黑体" w:eastAsia="黑体" w:hAnsi="黑体" w:hint="eastAsia"/>
          <w:bCs/>
          <w:spacing w:val="-3"/>
          <w:sz w:val="24"/>
        </w:rPr>
        <w:t>限制性股票认购资金的验资情况</w:t>
      </w:r>
    </w:p>
    <w:bookmarkEnd w:id="9"/>
    <w:p w14:paraId="6A60E14D" w14:textId="14C7BE0E" w:rsidR="0062312D" w:rsidRPr="005E2716" w:rsidRDefault="00F01143" w:rsidP="00A23CA5">
      <w:pPr>
        <w:pStyle w:val="af3"/>
        <w:tabs>
          <w:tab w:val="left" w:pos="882"/>
        </w:tabs>
        <w:snapToGrid w:val="0"/>
        <w:spacing w:before="0" w:line="355" w:lineRule="auto"/>
        <w:ind w:left="0" w:firstLineChars="200" w:firstLine="480"/>
        <w:jc w:val="both"/>
        <w:rPr>
          <w:sz w:val="24"/>
          <w:lang w:val="en-US"/>
        </w:rPr>
      </w:pPr>
      <w:r w:rsidRPr="005E2716">
        <w:rPr>
          <w:sz w:val="24"/>
          <w:lang w:val="en-US"/>
        </w:rPr>
        <w:t>截至202</w:t>
      </w:r>
      <w:r>
        <w:rPr>
          <w:rFonts w:hint="eastAsia"/>
          <w:sz w:val="24"/>
          <w:lang w:val="en-US"/>
        </w:rPr>
        <w:t>4</w:t>
      </w:r>
      <w:r w:rsidRPr="005E2716">
        <w:rPr>
          <w:sz w:val="24"/>
          <w:lang w:val="en-US"/>
        </w:rPr>
        <w:t>年</w:t>
      </w:r>
      <w:r>
        <w:rPr>
          <w:rFonts w:hint="eastAsia"/>
          <w:sz w:val="24"/>
          <w:lang w:val="en-US"/>
        </w:rPr>
        <w:t>9</w:t>
      </w:r>
      <w:r w:rsidRPr="005E2716">
        <w:rPr>
          <w:sz w:val="24"/>
          <w:lang w:val="en-US"/>
        </w:rPr>
        <w:t>月2</w:t>
      </w:r>
      <w:r>
        <w:rPr>
          <w:rFonts w:hint="eastAsia"/>
          <w:sz w:val="24"/>
          <w:lang w:val="en-US"/>
        </w:rPr>
        <w:t>6</w:t>
      </w:r>
      <w:r w:rsidRPr="005E2716">
        <w:rPr>
          <w:sz w:val="24"/>
          <w:lang w:val="en-US"/>
        </w:rPr>
        <w:t>日，公司已收到</w:t>
      </w:r>
      <w:r>
        <w:rPr>
          <w:rFonts w:hint="eastAsia"/>
          <w:sz w:val="24"/>
          <w:lang w:val="en-US"/>
        </w:rPr>
        <w:t>4</w:t>
      </w:r>
      <w:r w:rsidRPr="005E2716">
        <w:rPr>
          <w:sz w:val="24"/>
          <w:lang w:val="en-US"/>
        </w:rPr>
        <w:t>名激励对象以货币缴纳的</w:t>
      </w:r>
      <w:r>
        <w:rPr>
          <w:rFonts w:hint="eastAsia"/>
          <w:sz w:val="24"/>
          <w:lang w:val="en-US"/>
        </w:rPr>
        <w:t>12.00</w:t>
      </w:r>
      <w:r w:rsidRPr="005E2716">
        <w:rPr>
          <w:sz w:val="24"/>
          <w:lang w:val="en-US"/>
        </w:rPr>
        <w:t>万股限制性股票认购款人民币</w:t>
      </w:r>
      <w:r w:rsidRPr="00F01143">
        <w:rPr>
          <w:sz w:val="24"/>
          <w:lang w:val="en-US"/>
        </w:rPr>
        <w:t>469,200.00</w:t>
      </w:r>
      <w:r w:rsidRPr="005E2716">
        <w:rPr>
          <w:sz w:val="24"/>
          <w:lang w:val="en-US"/>
        </w:rPr>
        <w:t>元，其中计入股本人民币</w:t>
      </w:r>
      <w:r w:rsidRPr="00F01143">
        <w:rPr>
          <w:sz w:val="24"/>
          <w:lang w:val="en-US"/>
        </w:rPr>
        <w:t>120,000.00</w:t>
      </w:r>
      <w:r w:rsidRPr="005E2716">
        <w:rPr>
          <w:sz w:val="24"/>
          <w:lang w:val="en-US"/>
        </w:rPr>
        <w:t>元，计入资本公积金</w:t>
      </w:r>
      <w:r w:rsidRPr="00F01143">
        <w:rPr>
          <w:sz w:val="24"/>
          <w:lang w:val="en-US"/>
        </w:rPr>
        <w:t>3</w:t>
      </w:r>
      <w:r w:rsidR="004F75A7">
        <w:rPr>
          <w:sz w:val="24"/>
          <w:lang w:val="en-US"/>
        </w:rPr>
        <w:t>49,2</w:t>
      </w:r>
      <w:r w:rsidRPr="00F01143">
        <w:rPr>
          <w:sz w:val="24"/>
          <w:lang w:val="en-US"/>
        </w:rPr>
        <w:t>00.00</w:t>
      </w:r>
      <w:r w:rsidRPr="005E2716">
        <w:rPr>
          <w:sz w:val="24"/>
          <w:lang w:val="en-US"/>
        </w:rPr>
        <w:t>元。</w:t>
      </w:r>
    </w:p>
    <w:p w14:paraId="1A484C51" w14:textId="77777777" w:rsidR="00A23CA5" w:rsidRPr="004F75A7" w:rsidRDefault="00A23CA5" w:rsidP="00A23CA5">
      <w:pPr>
        <w:pStyle w:val="af3"/>
        <w:tabs>
          <w:tab w:val="left" w:pos="882"/>
        </w:tabs>
        <w:snapToGrid w:val="0"/>
        <w:spacing w:before="0" w:line="355" w:lineRule="auto"/>
        <w:ind w:left="0" w:firstLineChars="200" w:firstLine="474"/>
        <w:jc w:val="both"/>
        <w:rPr>
          <w:rFonts w:ascii="黑体" w:eastAsia="黑体" w:hAnsi="黑体"/>
          <w:bCs/>
          <w:spacing w:val="-3"/>
          <w:sz w:val="24"/>
          <w:lang w:val="en-US"/>
        </w:rPr>
      </w:pPr>
      <w:bookmarkStart w:id="10" w:name="_GoBack"/>
      <w:bookmarkEnd w:id="10"/>
    </w:p>
    <w:p w14:paraId="21B036D8" w14:textId="5A701E53" w:rsidR="00144151"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hint="eastAsia"/>
          <w:bCs/>
          <w:spacing w:val="-3"/>
          <w:sz w:val="24"/>
        </w:rPr>
        <w:t>四</w:t>
      </w:r>
      <w:r w:rsidR="00144151" w:rsidRPr="00A23CA5">
        <w:rPr>
          <w:rFonts w:ascii="黑体" w:eastAsia="黑体" w:hAnsi="黑体"/>
          <w:bCs/>
          <w:spacing w:val="-3"/>
          <w:sz w:val="24"/>
        </w:rPr>
        <w:t>、</w:t>
      </w:r>
      <w:r w:rsidRPr="00A23CA5">
        <w:rPr>
          <w:rFonts w:ascii="黑体" w:eastAsia="黑体" w:hAnsi="黑体" w:hint="eastAsia"/>
          <w:bCs/>
          <w:spacing w:val="-3"/>
          <w:sz w:val="24"/>
        </w:rPr>
        <w:t>限制性股票的登记情况</w:t>
      </w:r>
    </w:p>
    <w:p w14:paraId="0034B737" w14:textId="72C71D58" w:rsidR="0062312D" w:rsidRDefault="0062312D" w:rsidP="00A23CA5">
      <w:pPr>
        <w:pStyle w:val="af3"/>
        <w:tabs>
          <w:tab w:val="left" w:pos="882"/>
        </w:tabs>
        <w:snapToGrid w:val="0"/>
        <w:spacing w:before="0" w:line="355" w:lineRule="auto"/>
        <w:ind w:left="0" w:firstLineChars="200" w:firstLine="480"/>
        <w:jc w:val="both"/>
        <w:rPr>
          <w:sz w:val="24"/>
          <w:lang w:val="en-US"/>
        </w:rPr>
      </w:pPr>
      <w:r w:rsidRPr="00BF21D7">
        <w:rPr>
          <w:rFonts w:hint="eastAsia"/>
          <w:sz w:val="24"/>
          <w:lang w:val="en-US"/>
        </w:rPr>
        <w:t>中国证券登记结算有限责任公司上海分公司已完成了本激励计划限制性股票</w:t>
      </w:r>
      <w:r w:rsidR="00190F81" w:rsidRPr="00BF21D7">
        <w:rPr>
          <w:rFonts w:hint="eastAsia"/>
          <w:sz w:val="24"/>
          <w:lang w:val="en-US"/>
        </w:rPr>
        <w:t>预留</w:t>
      </w:r>
      <w:r w:rsidR="00B34AF5" w:rsidRPr="00BF21D7">
        <w:rPr>
          <w:rFonts w:hint="eastAsia"/>
          <w:sz w:val="24"/>
          <w:lang w:val="en-US"/>
        </w:rPr>
        <w:t>授予</w:t>
      </w:r>
      <w:r w:rsidRPr="00BF21D7">
        <w:rPr>
          <w:rFonts w:hint="eastAsia"/>
          <w:sz w:val="24"/>
          <w:lang w:val="en-US"/>
        </w:rPr>
        <w:t>登记工作，并向公司出具了《证券变更登记证明》。本激励计划</w:t>
      </w:r>
      <w:r w:rsidR="001E6FDF" w:rsidRPr="00BF21D7">
        <w:rPr>
          <w:rFonts w:hint="eastAsia"/>
          <w:sz w:val="24"/>
          <w:lang w:val="en-US"/>
        </w:rPr>
        <w:t>预留</w:t>
      </w:r>
      <w:r w:rsidRPr="00BF21D7">
        <w:rPr>
          <w:rFonts w:hint="eastAsia"/>
          <w:sz w:val="24"/>
          <w:lang w:val="en-US"/>
        </w:rPr>
        <w:t>授予的限制性股票为</w:t>
      </w:r>
      <w:r w:rsidR="006E4A88" w:rsidRPr="00BF21D7">
        <w:rPr>
          <w:rFonts w:hint="eastAsia"/>
          <w:sz w:val="24"/>
          <w:lang w:val="en-US"/>
        </w:rPr>
        <w:t>12.00</w:t>
      </w:r>
      <w:r w:rsidRPr="00BF21D7">
        <w:rPr>
          <w:rFonts w:hint="eastAsia"/>
          <w:sz w:val="24"/>
          <w:lang w:val="en-US"/>
        </w:rPr>
        <w:t>万股，股票登记日为202</w:t>
      </w:r>
      <w:r w:rsidR="00B34AF5" w:rsidRPr="00BF21D7">
        <w:rPr>
          <w:sz w:val="24"/>
          <w:lang w:val="en-US"/>
        </w:rPr>
        <w:t>4</w:t>
      </w:r>
      <w:r w:rsidRPr="00BF21D7">
        <w:rPr>
          <w:rFonts w:hint="eastAsia"/>
          <w:sz w:val="24"/>
          <w:lang w:val="en-US"/>
        </w:rPr>
        <w:t>年</w:t>
      </w:r>
      <w:r w:rsidR="00A67E57" w:rsidRPr="00DF5CBE">
        <w:rPr>
          <w:rFonts w:hint="eastAsia"/>
          <w:sz w:val="24"/>
          <w:lang w:val="en-US"/>
        </w:rPr>
        <w:t>10</w:t>
      </w:r>
      <w:r w:rsidRPr="00DF5CBE">
        <w:rPr>
          <w:rFonts w:hint="eastAsia"/>
          <w:sz w:val="24"/>
          <w:lang w:val="en-US"/>
        </w:rPr>
        <w:t>月</w:t>
      </w:r>
      <w:r w:rsidR="00A67E57" w:rsidRPr="00DF5CBE">
        <w:rPr>
          <w:rFonts w:hint="eastAsia"/>
          <w:sz w:val="24"/>
          <w:lang w:val="en-US"/>
        </w:rPr>
        <w:t>14</w:t>
      </w:r>
      <w:r w:rsidRPr="00DF5CBE">
        <w:rPr>
          <w:rFonts w:hint="eastAsia"/>
          <w:sz w:val="24"/>
          <w:lang w:val="en-US"/>
        </w:rPr>
        <w:t>日</w:t>
      </w:r>
      <w:r w:rsidRPr="00BF21D7">
        <w:rPr>
          <w:rFonts w:hint="eastAsia"/>
          <w:sz w:val="24"/>
          <w:lang w:val="en-US"/>
        </w:rPr>
        <w:t>。</w:t>
      </w:r>
    </w:p>
    <w:p w14:paraId="5C6B1BF9" w14:textId="77777777" w:rsidR="00A23CA5" w:rsidRPr="00ED7BEE" w:rsidRDefault="00A23CA5" w:rsidP="00A23CA5">
      <w:pPr>
        <w:pStyle w:val="af3"/>
        <w:tabs>
          <w:tab w:val="left" w:pos="882"/>
        </w:tabs>
        <w:snapToGrid w:val="0"/>
        <w:spacing w:before="0" w:line="355" w:lineRule="auto"/>
        <w:ind w:left="0" w:firstLineChars="200" w:firstLine="480"/>
        <w:jc w:val="both"/>
        <w:rPr>
          <w:color w:val="FF0000"/>
          <w:sz w:val="24"/>
          <w:lang w:val="en-US"/>
        </w:rPr>
      </w:pPr>
    </w:p>
    <w:p w14:paraId="01657C0C" w14:textId="77777777" w:rsidR="00144151"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hint="eastAsia"/>
          <w:bCs/>
          <w:spacing w:val="-3"/>
          <w:sz w:val="24"/>
        </w:rPr>
        <w:t>五</w:t>
      </w:r>
      <w:r w:rsidR="00144151" w:rsidRPr="00A23CA5">
        <w:rPr>
          <w:rFonts w:ascii="黑体" w:eastAsia="黑体" w:hAnsi="黑体"/>
          <w:bCs/>
          <w:spacing w:val="-3"/>
          <w:sz w:val="24"/>
        </w:rPr>
        <w:t>、</w:t>
      </w:r>
      <w:r w:rsidRPr="00A23CA5">
        <w:rPr>
          <w:rFonts w:ascii="黑体" w:eastAsia="黑体" w:hAnsi="黑体" w:hint="eastAsia"/>
          <w:bCs/>
          <w:spacing w:val="-3"/>
          <w:sz w:val="24"/>
        </w:rPr>
        <w:t>授予前后对公司控股股东的影响</w:t>
      </w:r>
    </w:p>
    <w:p w14:paraId="2D547B47" w14:textId="4AD0D42D" w:rsidR="00154C03" w:rsidRDefault="0062312D" w:rsidP="00A23CA5">
      <w:pPr>
        <w:pStyle w:val="af3"/>
        <w:tabs>
          <w:tab w:val="left" w:pos="882"/>
        </w:tabs>
        <w:snapToGrid w:val="0"/>
        <w:spacing w:before="0" w:line="355" w:lineRule="auto"/>
        <w:ind w:left="0" w:firstLineChars="200" w:firstLine="480"/>
        <w:jc w:val="both"/>
        <w:rPr>
          <w:sz w:val="24"/>
          <w:lang w:val="en-US"/>
        </w:rPr>
      </w:pPr>
      <w:r w:rsidRPr="005E2716">
        <w:rPr>
          <w:rFonts w:hint="eastAsia"/>
          <w:sz w:val="24"/>
          <w:lang w:val="en-US"/>
        </w:rPr>
        <w:t>本激励计划限制性股票</w:t>
      </w:r>
      <w:r w:rsidR="001E6FDF" w:rsidRPr="005E2716">
        <w:rPr>
          <w:rFonts w:hint="eastAsia"/>
          <w:sz w:val="24"/>
          <w:lang w:val="en-US"/>
        </w:rPr>
        <w:t>预留</w:t>
      </w:r>
      <w:r w:rsidRPr="005E2716">
        <w:rPr>
          <w:rFonts w:hint="eastAsia"/>
          <w:sz w:val="24"/>
          <w:lang w:val="en-US"/>
        </w:rPr>
        <w:t>授予完成后，公司股份总数由</w:t>
      </w:r>
      <w:r w:rsidR="006E4A88" w:rsidRPr="005E2716">
        <w:rPr>
          <w:sz w:val="24"/>
          <w:lang w:val="en-US"/>
        </w:rPr>
        <w:t>630,629,155</w:t>
      </w:r>
      <w:r w:rsidRPr="005E2716">
        <w:rPr>
          <w:rFonts w:hint="eastAsia"/>
          <w:sz w:val="24"/>
          <w:lang w:val="en-US"/>
        </w:rPr>
        <w:t>股增加至</w:t>
      </w:r>
      <w:r w:rsidR="006E4A88" w:rsidRPr="005E2716">
        <w:rPr>
          <w:sz w:val="24"/>
          <w:lang w:val="en-US"/>
        </w:rPr>
        <w:t>630,749,155</w:t>
      </w:r>
      <w:r w:rsidRPr="005E2716">
        <w:rPr>
          <w:rFonts w:hint="eastAsia"/>
          <w:sz w:val="24"/>
          <w:lang w:val="en-US"/>
        </w:rPr>
        <w:t>股。本次授予前，公司控股股东</w:t>
      </w:r>
      <w:hyperlink r:id="rId7" w:history="1">
        <w:r w:rsidR="00CC6BC2" w:rsidRPr="005E2716">
          <w:rPr>
            <w:sz w:val="24"/>
            <w:lang w:val="en-US"/>
          </w:rPr>
          <w:t>铜陵中</w:t>
        </w:r>
        <w:proofErr w:type="gramStart"/>
        <w:r w:rsidR="00CC6BC2" w:rsidRPr="005E2716">
          <w:rPr>
            <w:sz w:val="24"/>
            <w:lang w:val="en-US"/>
          </w:rPr>
          <w:t>旭产业</w:t>
        </w:r>
        <w:proofErr w:type="gramEnd"/>
        <w:r w:rsidR="00CC6BC2" w:rsidRPr="005E2716">
          <w:rPr>
            <w:sz w:val="24"/>
            <w:lang w:val="en-US"/>
          </w:rPr>
          <w:t>投资有限公司</w:t>
        </w:r>
      </w:hyperlink>
      <w:r w:rsidRPr="005E2716">
        <w:rPr>
          <w:rFonts w:hint="eastAsia"/>
          <w:sz w:val="24"/>
          <w:lang w:val="en-US"/>
        </w:rPr>
        <w:t>持有公司股份数量为</w:t>
      </w:r>
      <w:r w:rsidR="006E4A88" w:rsidRPr="005E2716">
        <w:rPr>
          <w:sz w:val="24"/>
          <w:lang w:val="en-US"/>
        </w:rPr>
        <w:t>1</w:t>
      </w:r>
      <w:r w:rsidR="00CC6BC2" w:rsidRPr="005E2716">
        <w:rPr>
          <w:sz w:val="24"/>
          <w:lang w:val="en-US"/>
        </w:rPr>
        <w:t>28</w:t>
      </w:r>
      <w:r w:rsidR="006E4A88" w:rsidRPr="005E2716">
        <w:rPr>
          <w:sz w:val="24"/>
          <w:lang w:val="en-US"/>
        </w:rPr>
        <w:t>,</w:t>
      </w:r>
      <w:r w:rsidR="00CC6BC2" w:rsidRPr="005E2716">
        <w:rPr>
          <w:sz w:val="24"/>
          <w:lang w:val="en-US"/>
        </w:rPr>
        <w:t>897</w:t>
      </w:r>
      <w:r w:rsidR="006E4A88" w:rsidRPr="005E2716">
        <w:rPr>
          <w:sz w:val="24"/>
          <w:lang w:val="en-US"/>
        </w:rPr>
        <w:t>,</w:t>
      </w:r>
      <w:r w:rsidR="00CC6BC2" w:rsidRPr="005E2716">
        <w:rPr>
          <w:sz w:val="24"/>
          <w:lang w:val="en-US"/>
        </w:rPr>
        <w:t>956</w:t>
      </w:r>
      <w:r w:rsidRPr="005E2716">
        <w:rPr>
          <w:rFonts w:hint="eastAsia"/>
          <w:sz w:val="24"/>
          <w:lang w:val="en-US"/>
        </w:rPr>
        <w:t>股，占公司总股本</w:t>
      </w:r>
      <w:r w:rsidR="00AB73AB" w:rsidRPr="005E2716">
        <w:rPr>
          <w:rFonts w:hint="eastAsia"/>
          <w:sz w:val="24"/>
          <w:lang w:val="en-US"/>
        </w:rPr>
        <w:t>的</w:t>
      </w:r>
      <w:r w:rsidR="00CC6BC2" w:rsidRPr="005E2716">
        <w:rPr>
          <w:sz w:val="24"/>
          <w:lang w:val="en-US"/>
        </w:rPr>
        <w:t>20.44</w:t>
      </w:r>
      <w:r w:rsidR="00B612FC" w:rsidRPr="005E2716">
        <w:rPr>
          <w:sz w:val="24"/>
          <w:lang w:val="en-US"/>
        </w:rPr>
        <w:t>%</w:t>
      </w:r>
      <w:r w:rsidR="00E814CF" w:rsidRPr="005E2716">
        <w:rPr>
          <w:rFonts w:hint="eastAsia"/>
          <w:sz w:val="24"/>
          <w:lang w:val="en-US"/>
        </w:rPr>
        <w:t>，</w:t>
      </w:r>
      <w:r w:rsidRPr="005E2716">
        <w:rPr>
          <w:rFonts w:hint="eastAsia"/>
          <w:sz w:val="24"/>
          <w:lang w:val="en-US"/>
        </w:rPr>
        <w:t>授予完成后，</w:t>
      </w:r>
      <w:r w:rsidR="00154C03" w:rsidRPr="005E2716">
        <w:rPr>
          <w:rFonts w:hint="eastAsia"/>
          <w:sz w:val="24"/>
          <w:lang w:val="en-US"/>
        </w:rPr>
        <w:t>其</w:t>
      </w:r>
      <w:r w:rsidRPr="005E2716">
        <w:rPr>
          <w:rFonts w:hint="eastAsia"/>
          <w:sz w:val="24"/>
          <w:lang w:val="en-US"/>
        </w:rPr>
        <w:t>占公司总股份的比例</w:t>
      </w:r>
      <w:r w:rsidR="006E4A88" w:rsidRPr="005E2716">
        <w:rPr>
          <w:rFonts w:hint="eastAsia"/>
          <w:sz w:val="24"/>
          <w:lang w:val="en-US"/>
        </w:rPr>
        <w:t>仍</w:t>
      </w:r>
      <w:r w:rsidR="00154C03" w:rsidRPr="005E2716">
        <w:rPr>
          <w:rFonts w:hint="eastAsia"/>
          <w:sz w:val="24"/>
          <w:lang w:val="en-US"/>
        </w:rPr>
        <w:t>为</w:t>
      </w:r>
      <w:r w:rsidR="00B612FC" w:rsidRPr="005E2716">
        <w:rPr>
          <w:sz w:val="24"/>
          <w:lang w:val="en-US"/>
        </w:rPr>
        <w:t>20.44</w:t>
      </w:r>
      <w:r w:rsidR="006E4A88" w:rsidRPr="005E2716">
        <w:rPr>
          <w:sz w:val="24"/>
          <w:lang w:val="en-US"/>
        </w:rPr>
        <w:t>%</w:t>
      </w:r>
      <w:r w:rsidR="00154C03" w:rsidRPr="005E2716">
        <w:rPr>
          <w:rFonts w:hint="eastAsia"/>
          <w:sz w:val="24"/>
          <w:lang w:val="en-US"/>
        </w:rPr>
        <w:t>。本激励计划限制性股票授予登记完成</w:t>
      </w:r>
      <w:r w:rsidR="00E814CF" w:rsidRPr="005E2716">
        <w:rPr>
          <w:rFonts w:hint="eastAsia"/>
          <w:sz w:val="24"/>
          <w:lang w:val="en-US"/>
        </w:rPr>
        <w:t>后</w:t>
      </w:r>
      <w:r w:rsidR="00154C03" w:rsidRPr="005E2716">
        <w:rPr>
          <w:rFonts w:hint="eastAsia"/>
          <w:sz w:val="24"/>
          <w:lang w:val="en-US"/>
        </w:rPr>
        <w:t>不会导</w:t>
      </w:r>
      <w:r w:rsidR="00154C03" w:rsidRPr="005E2716">
        <w:rPr>
          <w:rFonts w:hint="eastAsia"/>
          <w:sz w:val="24"/>
          <w:lang w:val="en-US"/>
        </w:rPr>
        <w:lastRenderedPageBreak/>
        <w:t>致公司控股股东</w:t>
      </w:r>
      <w:r w:rsidR="00E814CF" w:rsidRPr="005E2716">
        <w:rPr>
          <w:rFonts w:hint="eastAsia"/>
          <w:sz w:val="24"/>
          <w:lang w:val="en-US"/>
        </w:rPr>
        <w:t>控制权</w:t>
      </w:r>
      <w:r w:rsidR="00154C03" w:rsidRPr="005E2716">
        <w:rPr>
          <w:rFonts w:hint="eastAsia"/>
          <w:sz w:val="24"/>
          <w:lang w:val="en-US"/>
        </w:rPr>
        <w:t>发生变化。</w:t>
      </w:r>
    </w:p>
    <w:p w14:paraId="486892E5" w14:textId="77777777" w:rsidR="00A23CA5" w:rsidRDefault="00A23CA5" w:rsidP="00A23CA5">
      <w:pPr>
        <w:pStyle w:val="af3"/>
        <w:tabs>
          <w:tab w:val="left" w:pos="882"/>
        </w:tabs>
        <w:snapToGrid w:val="0"/>
        <w:spacing w:before="0" w:line="355" w:lineRule="auto"/>
        <w:ind w:left="0" w:firstLineChars="200" w:firstLine="480"/>
        <w:jc w:val="both"/>
        <w:rPr>
          <w:sz w:val="24"/>
          <w:lang w:val="en-US"/>
        </w:rPr>
      </w:pPr>
    </w:p>
    <w:p w14:paraId="1D0A2D5F" w14:textId="77777777" w:rsidR="0062312D"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bCs/>
          <w:spacing w:val="-3"/>
          <w:sz w:val="24"/>
        </w:rPr>
        <w:t>六、</w:t>
      </w:r>
      <w:r w:rsidRPr="00A23CA5">
        <w:rPr>
          <w:rFonts w:ascii="黑体" w:eastAsia="黑体" w:hAnsi="黑体" w:hint="eastAsia"/>
          <w:bCs/>
          <w:spacing w:val="-3"/>
          <w:sz w:val="24"/>
        </w:rPr>
        <w:t>股本</w:t>
      </w:r>
      <w:r w:rsidRPr="00A23CA5">
        <w:rPr>
          <w:rFonts w:ascii="黑体" w:eastAsia="黑体" w:hAnsi="黑体"/>
          <w:bCs/>
          <w:spacing w:val="-3"/>
          <w:sz w:val="24"/>
        </w:rPr>
        <w:t>结构变动情况</w:t>
      </w:r>
    </w:p>
    <w:p w14:paraId="2A7B54C1" w14:textId="77777777" w:rsidR="00EE27B6" w:rsidRDefault="00EE27B6" w:rsidP="00A23CA5">
      <w:pPr>
        <w:snapToGrid w:val="0"/>
        <w:spacing w:line="355" w:lineRule="auto"/>
        <w:ind w:right="480" w:firstLineChars="200" w:firstLine="420"/>
        <w:jc w:val="right"/>
        <w:rPr>
          <w:rFonts w:ascii="宋体" w:hAnsi="宋体"/>
          <w:szCs w:val="21"/>
        </w:rPr>
      </w:pPr>
    </w:p>
    <w:p w14:paraId="586F2F47" w14:textId="77777777" w:rsidR="0062312D" w:rsidRDefault="0062312D" w:rsidP="00A23CA5">
      <w:pPr>
        <w:snapToGrid w:val="0"/>
        <w:spacing w:line="355" w:lineRule="auto"/>
        <w:ind w:right="480" w:firstLineChars="200" w:firstLine="420"/>
        <w:jc w:val="right"/>
        <w:rPr>
          <w:rFonts w:ascii="宋体" w:hAnsi="宋体"/>
          <w:szCs w:val="21"/>
        </w:rPr>
      </w:pPr>
      <w:r>
        <w:rPr>
          <w:rFonts w:ascii="宋体" w:hAnsi="宋体"/>
          <w:szCs w:val="21"/>
        </w:rPr>
        <w:t>单位：股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1855"/>
        <w:gridCol w:w="1955"/>
        <w:gridCol w:w="2217"/>
      </w:tblGrid>
      <w:tr w:rsidR="0062312D" w:rsidRPr="00BF21D7" w14:paraId="00559135" w14:textId="77777777" w:rsidTr="00EE27B6">
        <w:trPr>
          <w:trHeight w:val="294"/>
          <w:jc w:val="center"/>
        </w:trPr>
        <w:tc>
          <w:tcPr>
            <w:tcW w:w="2236" w:type="dxa"/>
            <w:shd w:val="clear" w:color="auto" w:fill="BFBFBF"/>
            <w:vAlign w:val="center"/>
          </w:tcPr>
          <w:p w14:paraId="3C75955A" w14:textId="77777777" w:rsidR="0062312D" w:rsidRPr="00BF21D7" w:rsidRDefault="0062312D" w:rsidP="00A23CA5">
            <w:pPr>
              <w:snapToGrid w:val="0"/>
              <w:spacing w:line="355" w:lineRule="auto"/>
              <w:jc w:val="center"/>
              <w:rPr>
                <w:rFonts w:ascii="宋体" w:hAnsi="宋体"/>
                <w:b/>
                <w:bCs/>
                <w:kern w:val="0"/>
                <w:szCs w:val="21"/>
              </w:rPr>
            </w:pPr>
            <w:r w:rsidRPr="00BF21D7">
              <w:rPr>
                <w:rFonts w:ascii="宋体" w:hAnsi="宋体" w:hint="eastAsia"/>
                <w:b/>
                <w:bCs/>
                <w:kern w:val="0"/>
                <w:szCs w:val="21"/>
              </w:rPr>
              <w:t>类别</w:t>
            </w:r>
          </w:p>
        </w:tc>
        <w:tc>
          <w:tcPr>
            <w:tcW w:w="1855" w:type="dxa"/>
            <w:shd w:val="clear" w:color="auto" w:fill="BFBFBF"/>
            <w:vAlign w:val="center"/>
          </w:tcPr>
          <w:p w14:paraId="05EF8061" w14:textId="77777777" w:rsidR="0062312D" w:rsidRPr="00BF21D7" w:rsidRDefault="0062312D" w:rsidP="00A23CA5">
            <w:pPr>
              <w:snapToGrid w:val="0"/>
              <w:spacing w:line="355" w:lineRule="auto"/>
              <w:jc w:val="center"/>
              <w:rPr>
                <w:rFonts w:ascii="宋体" w:hAnsi="宋体"/>
                <w:b/>
                <w:bCs/>
                <w:kern w:val="0"/>
                <w:szCs w:val="21"/>
              </w:rPr>
            </w:pPr>
            <w:r w:rsidRPr="00BF21D7">
              <w:rPr>
                <w:rFonts w:ascii="宋体" w:hAnsi="宋体" w:hint="eastAsia"/>
                <w:b/>
                <w:bCs/>
                <w:kern w:val="0"/>
                <w:szCs w:val="21"/>
              </w:rPr>
              <w:t>变动前</w:t>
            </w:r>
          </w:p>
        </w:tc>
        <w:tc>
          <w:tcPr>
            <w:tcW w:w="1955" w:type="dxa"/>
            <w:shd w:val="clear" w:color="auto" w:fill="BFBFBF"/>
            <w:vAlign w:val="center"/>
          </w:tcPr>
          <w:p w14:paraId="501CC52E" w14:textId="77777777" w:rsidR="0062312D" w:rsidRPr="00BF21D7" w:rsidRDefault="0062312D" w:rsidP="00A23CA5">
            <w:pPr>
              <w:snapToGrid w:val="0"/>
              <w:spacing w:line="355" w:lineRule="auto"/>
              <w:jc w:val="center"/>
              <w:rPr>
                <w:rFonts w:ascii="宋体" w:hAnsi="宋体"/>
                <w:b/>
                <w:bCs/>
                <w:kern w:val="0"/>
                <w:szCs w:val="21"/>
              </w:rPr>
            </w:pPr>
            <w:r w:rsidRPr="00BF21D7">
              <w:rPr>
                <w:rFonts w:ascii="宋体" w:hAnsi="宋体" w:hint="eastAsia"/>
                <w:b/>
                <w:bCs/>
                <w:kern w:val="0"/>
                <w:szCs w:val="21"/>
              </w:rPr>
              <w:t>本次变动</w:t>
            </w:r>
          </w:p>
        </w:tc>
        <w:tc>
          <w:tcPr>
            <w:tcW w:w="2217" w:type="dxa"/>
            <w:shd w:val="clear" w:color="auto" w:fill="BFBFBF"/>
            <w:vAlign w:val="center"/>
          </w:tcPr>
          <w:p w14:paraId="7AC55B89" w14:textId="77777777" w:rsidR="0062312D" w:rsidRPr="00BF21D7" w:rsidRDefault="0062312D" w:rsidP="00A23CA5">
            <w:pPr>
              <w:snapToGrid w:val="0"/>
              <w:spacing w:line="355" w:lineRule="auto"/>
              <w:jc w:val="center"/>
              <w:rPr>
                <w:rFonts w:ascii="宋体" w:hAnsi="宋体"/>
                <w:b/>
                <w:bCs/>
                <w:kern w:val="0"/>
                <w:szCs w:val="21"/>
              </w:rPr>
            </w:pPr>
            <w:r w:rsidRPr="00BF21D7">
              <w:rPr>
                <w:rFonts w:ascii="宋体" w:hAnsi="宋体" w:hint="eastAsia"/>
                <w:b/>
                <w:bCs/>
                <w:kern w:val="0"/>
                <w:szCs w:val="21"/>
              </w:rPr>
              <w:t>变动后</w:t>
            </w:r>
          </w:p>
        </w:tc>
      </w:tr>
      <w:tr w:rsidR="006E4A88" w:rsidRPr="00BF21D7" w14:paraId="59048F79" w14:textId="77777777" w:rsidTr="00B612FC">
        <w:trPr>
          <w:trHeight w:val="50"/>
          <w:jc w:val="center"/>
        </w:trPr>
        <w:tc>
          <w:tcPr>
            <w:tcW w:w="2236" w:type="dxa"/>
            <w:vAlign w:val="center"/>
          </w:tcPr>
          <w:p w14:paraId="6DB04A3C" w14:textId="77777777"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hint="eastAsia"/>
                <w:szCs w:val="21"/>
              </w:rPr>
              <w:t>有限</w:t>
            </w:r>
            <w:proofErr w:type="gramStart"/>
            <w:r w:rsidRPr="00BF21D7">
              <w:rPr>
                <w:rFonts w:ascii="宋体" w:hAnsi="宋体" w:hint="eastAsia"/>
                <w:szCs w:val="21"/>
              </w:rPr>
              <w:t>售条件</w:t>
            </w:r>
            <w:proofErr w:type="gramEnd"/>
            <w:r w:rsidRPr="00BF21D7">
              <w:rPr>
                <w:rFonts w:ascii="宋体" w:hAnsi="宋体" w:hint="eastAsia"/>
                <w:szCs w:val="21"/>
              </w:rPr>
              <w:t>股份</w:t>
            </w:r>
          </w:p>
        </w:tc>
        <w:tc>
          <w:tcPr>
            <w:tcW w:w="1855" w:type="dxa"/>
            <w:vAlign w:val="center"/>
          </w:tcPr>
          <w:p w14:paraId="1F1CD18B" w14:textId="655D9452"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szCs w:val="21"/>
              </w:rPr>
              <w:t>26,144,977</w:t>
            </w:r>
          </w:p>
        </w:tc>
        <w:tc>
          <w:tcPr>
            <w:tcW w:w="1955" w:type="dxa"/>
            <w:vAlign w:val="center"/>
          </w:tcPr>
          <w:p w14:paraId="2F9F7905" w14:textId="3B88FB63"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szCs w:val="21"/>
              </w:rPr>
              <w:t>+120,000</w:t>
            </w:r>
          </w:p>
        </w:tc>
        <w:tc>
          <w:tcPr>
            <w:tcW w:w="2217" w:type="dxa"/>
          </w:tcPr>
          <w:p w14:paraId="13F27F26" w14:textId="378C2881" w:rsidR="006E4A88" w:rsidRPr="00BF21D7" w:rsidRDefault="006E4A88" w:rsidP="00A23CA5">
            <w:pPr>
              <w:snapToGrid w:val="0"/>
              <w:spacing w:line="355" w:lineRule="auto"/>
              <w:ind w:left="210" w:hangingChars="100" w:hanging="210"/>
              <w:jc w:val="center"/>
              <w:rPr>
                <w:rFonts w:ascii="宋体" w:hAnsi="宋体"/>
                <w:color w:val="FF0000"/>
                <w:szCs w:val="21"/>
              </w:rPr>
            </w:pPr>
            <w:r w:rsidRPr="00BF21D7">
              <w:rPr>
                <w:rFonts w:ascii="宋体" w:hAnsi="宋体"/>
              </w:rPr>
              <w:t>26,264,977</w:t>
            </w:r>
          </w:p>
        </w:tc>
      </w:tr>
      <w:tr w:rsidR="006E4A88" w:rsidRPr="00BF21D7" w14:paraId="29EC2DAF" w14:textId="77777777" w:rsidTr="00B612FC">
        <w:trPr>
          <w:trHeight w:val="168"/>
          <w:jc w:val="center"/>
        </w:trPr>
        <w:tc>
          <w:tcPr>
            <w:tcW w:w="2236" w:type="dxa"/>
            <w:vAlign w:val="center"/>
          </w:tcPr>
          <w:p w14:paraId="1F00F76A" w14:textId="77777777"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hint="eastAsia"/>
                <w:szCs w:val="21"/>
              </w:rPr>
              <w:t>无限</w:t>
            </w:r>
            <w:proofErr w:type="gramStart"/>
            <w:r w:rsidRPr="00BF21D7">
              <w:rPr>
                <w:rFonts w:ascii="宋体" w:hAnsi="宋体" w:hint="eastAsia"/>
                <w:szCs w:val="21"/>
              </w:rPr>
              <w:t>售条件</w:t>
            </w:r>
            <w:proofErr w:type="gramEnd"/>
            <w:r w:rsidRPr="00BF21D7">
              <w:rPr>
                <w:rFonts w:ascii="宋体" w:hAnsi="宋体" w:hint="eastAsia"/>
                <w:szCs w:val="21"/>
              </w:rPr>
              <w:t>股份</w:t>
            </w:r>
          </w:p>
        </w:tc>
        <w:tc>
          <w:tcPr>
            <w:tcW w:w="1855" w:type="dxa"/>
            <w:vAlign w:val="center"/>
          </w:tcPr>
          <w:p w14:paraId="03206AEA" w14:textId="6B452489"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szCs w:val="21"/>
              </w:rPr>
              <w:t>604,484,178</w:t>
            </w:r>
          </w:p>
        </w:tc>
        <w:tc>
          <w:tcPr>
            <w:tcW w:w="1955" w:type="dxa"/>
            <w:vAlign w:val="center"/>
          </w:tcPr>
          <w:p w14:paraId="0DB2387A" w14:textId="2471FBB9"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szCs w:val="21"/>
              </w:rPr>
              <w:t>0</w:t>
            </w:r>
          </w:p>
        </w:tc>
        <w:tc>
          <w:tcPr>
            <w:tcW w:w="2217" w:type="dxa"/>
          </w:tcPr>
          <w:p w14:paraId="092D4CE9" w14:textId="16FAA120" w:rsidR="006E4A88" w:rsidRPr="00BF21D7" w:rsidRDefault="006E4A88" w:rsidP="00A23CA5">
            <w:pPr>
              <w:snapToGrid w:val="0"/>
              <w:spacing w:line="355" w:lineRule="auto"/>
              <w:ind w:left="210" w:hangingChars="100" w:hanging="210"/>
              <w:jc w:val="center"/>
              <w:rPr>
                <w:rFonts w:ascii="宋体" w:hAnsi="宋体"/>
                <w:color w:val="FF0000"/>
                <w:szCs w:val="21"/>
              </w:rPr>
            </w:pPr>
            <w:r w:rsidRPr="00BF21D7">
              <w:rPr>
                <w:rFonts w:ascii="宋体" w:hAnsi="宋体"/>
              </w:rPr>
              <w:t>604,484,178</w:t>
            </w:r>
          </w:p>
        </w:tc>
      </w:tr>
      <w:tr w:rsidR="006E4A88" w:rsidRPr="00BF21D7" w14:paraId="157F2550" w14:textId="77777777">
        <w:trPr>
          <w:trHeight w:val="353"/>
          <w:jc w:val="center"/>
        </w:trPr>
        <w:tc>
          <w:tcPr>
            <w:tcW w:w="2236" w:type="dxa"/>
            <w:vAlign w:val="center"/>
          </w:tcPr>
          <w:p w14:paraId="64A15E66" w14:textId="77777777"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hint="eastAsia"/>
                <w:szCs w:val="21"/>
              </w:rPr>
              <w:t>总计</w:t>
            </w:r>
          </w:p>
        </w:tc>
        <w:tc>
          <w:tcPr>
            <w:tcW w:w="1855" w:type="dxa"/>
          </w:tcPr>
          <w:p w14:paraId="1DAF685E" w14:textId="0405A0A9" w:rsidR="006E4A88" w:rsidRPr="00BF21D7" w:rsidRDefault="006E4A88" w:rsidP="00A23CA5">
            <w:pPr>
              <w:snapToGrid w:val="0"/>
              <w:spacing w:line="355" w:lineRule="auto"/>
              <w:ind w:left="210" w:hangingChars="100" w:hanging="210"/>
              <w:jc w:val="center"/>
              <w:rPr>
                <w:rFonts w:ascii="宋体" w:hAnsi="宋体"/>
                <w:szCs w:val="21"/>
              </w:rPr>
            </w:pPr>
            <w:bookmarkStart w:id="11" w:name="_Hlk178172571"/>
            <w:r w:rsidRPr="00BF21D7">
              <w:rPr>
                <w:rFonts w:ascii="宋体" w:hAnsi="宋体"/>
                <w:szCs w:val="21"/>
              </w:rPr>
              <w:t>630,629,155</w:t>
            </w:r>
            <w:bookmarkEnd w:id="11"/>
          </w:p>
        </w:tc>
        <w:tc>
          <w:tcPr>
            <w:tcW w:w="1955" w:type="dxa"/>
          </w:tcPr>
          <w:p w14:paraId="6D43948B" w14:textId="5E3AAE36"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szCs w:val="21"/>
              </w:rPr>
              <w:t>+120,000</w:t>
            </w:r>
          </w:p>
        </w:tc>
        <w:tc>
          <w:tcPr>
            <w:tcW w:w="2217" w:type="dxa"/>
          </w:tcPr>
          <w:p w14:paraId="54A693C1" w14:textId="28040E4F" w:rsidR="006E4A88" w:rsidRPr="00BF21D7" w:rsidRDefault="006E4A88" w:rsidP="00A23CA5">
            <w:pPr>
              <w:snapToGrid w:val="0"/>
              <w:spacing w:line="355" w:lineRule="auto"/>
              <w:ind w:left="210" w:hangingChars="100" w:hanging="210"/>
              <w:jc w:val="center"/>
              <w:rPr>
                <w:rFonts w:ascii="宋体" w:hAnsi="宋体"/>
                <w:szCs w:val="21"/>
              </w:rPr>
            </w:pPr>
            <w:r w:rsidRPr="00BF21D7">
              <w:rPr>
                <w:rFonts w:ascii="宋体" w:hAnsi="宋体"/>
              </w:rPr>
              <w:t>630,749,155</w:t>
            </w:r>
          </w:p>
        </w:tc>
      </w:tr>
    </w:tbl>
    <w:p w14:paraId="7566EFDF" w14:textId="77777777" w:rsidR="00A23CA5" w:rsidRDefault="00A23CA5"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p>
    <w:p w14:paraId="49C72B81" w14:textId="6E48AECD" w:rsidR="0062312D"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bCs/>
          <w:spacing w:val="-3"/>
          <w:sz w:val="24"/>
        </w:rPr>
        <w:t>七、本次募集资金使用计划</w:t>
      </w:r>
    </w:p>
    <w:p w14:paraId="78DCCB9A" w14:textId="090D3287" w:rsidR="0062312D" w:rsidRDefault="0062312D" w:rsidP="00A23CA5">
      <w:pPr>
        <w:widowControl/>
        <w:adjustRightInd w:val="0"/>
        <w:snapToGrid w:val="0"/>
        <w:spacing w:line="355" w:lineRule="auto"/>
        <w:ind w:firstLineChars="200" w:firstLine="480"/>
        <w:rPr>
          <w:rFonts w:ascii="宋体" w:hAnsi="宋体"/>
          <w:color w:val="000000"/>
          <w:kern w:val="0"/>
          <w:sz w:val="24"/>
        </w:rPr>
      </w:pPr>
      <w:r>
        <w:rPr>
          <w:rFonts w:ascii="宋体" w:hAnsi="宋体"/>
          <w:color w:val="000000"/>
          <w:kern w:val="0"/>
          <w:sz w:val="24"/>
        </w:rPr>
        <w:t>公司本激励计划向激励对象定向发行公司人民币A股</w:t>
      </w:r>
      <w:r w:rsidR="00154C03">
        <w:rPr>
          <w:rFonts w:ascii="宋体" w:hAnsi="宋体"/>
          <w:color w:val="000000"/>
          <w:kern w:val="0"/>
          <w:sz w:val="24"/>
        </w:rPr>
        <w:t>普通股</w:t>
      </w:r>
      <w:r>
        <w:rPr>
          <w:rFonts w:ascii="宋体" w:hAnsi="宋体"/>
          <w:color w:val="000000"/>
          <w:kern w:val="0"/>
          <w:sz w:val="24"/>
        </w:rPr>
        <w:t>股票所筹集资金将全部用于补充公司流动资金。</w:t>
      </w:r>
    </w:p>
    <w:p w14:paraId="5A5829E7" w14:textId="77777777" w:rsidR="00A23CA5" w:rsidRDefault="00A23CA5" w:rsidP="00A23CA5">
      <w:pPr>
        <w:widowControl/>
        <w:adjustRightInd w:val="0"/>
        <w:snapToGrid w:val="0"/>
        <w:spacing w:line="355" w:lineRule="auto"/>
        <w:ind w:firstLineChars="200" w:firstLine="480"/>
        <w:rPr>
          <w:rFonts w:ascii="宋体" w:hAnsi="宋体"/>
          <w:color w:val="000000"/>
          <w:kern w:val="0"/>
          <w:sz w:val="24"/>
        </w:rPr>
      </w:pPr>
    </w:p>
    <w:p w14:paraId="497BC7AF" w14:textId="77777777" w:rsidR="0062312D" w:rsidRPr="00A23CA5" w:rsidRDefault="0062312D" w:rsidP="00A23CA5">
      <w:pPr>
        <w:pStyle w:val="af3"/>
        <w:tabs>
          <w:tab w:val="left" w:pos="882"/>
        </w:tabs>
        <w:snapToGrid w:val="0"/>
        <w:spacing w:before="0" w:line="355" w:lineRule="auto"/>
        <w:ind w:left="0" w:firstLineChars="200" w:firstLine="474"/>
        <w:jc w:val="both"/>
        <w:rPr>
          <w:rFonts w:ascii="黑体" w:eastAsia="黑体" w:hAnsi="黑体"/>
          <w:bCs/>
          <w:spacing w:val="-3"/>
          <w:sz w:val="24"/>
        </w:rPr>
      </w:pPr>
      <w:r w:rsidRPr="00A23CA5">
        <w:rPr>
          <w:rFonts w:ascii="黑体" w:eastAsia="黑体" w:hAnsi="黑体"/>
          <w:bCs/>
          <w:spacing w:val="-3"/>
          <w:sz w:val="24"/>
        </w:rPr>
        <w:t>八、本次授予后新增股份对最近一期财务报告的影响</w:t>
      </w:r>
    </w:p>
    <w:p w14:paraId="2CA85E6A" w14:textId="77777777" w:rsidR="00D37924" w:rsidRPr="00D37924" w:rsidRDefault="00D37924" w:rsidP="00A23CA5">
      <w:pPr>
        <w:adjustRightInd w:val="0"/>
        <w:snapToGrid w:val="0"/>
        <w:spacing w:line="355" w:lineRule="auto"/>
        <w:ind w:firstLineChars="200" w:firstLine="480"/>
        <w:rPr>
          <w:rFonts w:ascii="宋体" w:hAnsi="宋体"/>
          <w:color w:val="000000"/>
          <w:sz w:val="24"/>
        </w:rPr>
      </w:pPr>
      <w:r w:rsidRPr="00D37924">
        <w:rPr>
          <w:rFonts w:ascii="宋体" w:hAnsi="宋体" w:hint="eastAsia"/>
          <w:color w:val="000000"/>
          <w:sz w:val="24"/>
        </w:rPr>
        <w:t>公司按照相关估值工具确定授予日限制性股票的公允价值，并最终确认本激励计划的股份支付费用，该等费用将在本激励计划的实施过程中按解除限售的比例摊销。由本激励计划产生的激励成本将在经常性损益中列支。</w:t>
      </w:r>
    </w:p>
    <w:p w14:paraId="523ADA2E" w14:textId="23986EE2" w:rsidR="00D37924" w:rsidRDefault="00D37924" w:rsidP="00A23CA5">
      <w:pPr>
        <w:adjustRightInd w:val="0"/>
        <w:snapToGrid w:val="0"/>
        <w:spacing w:line="355" w:lineRule="auto"/>
        <w:ind w:firstLineChars="200" w:firstLine="480"/>
        <w:rPr>
          <w:rFonts w:ascii="宋体" w:hAnsi="宋体"/>
          <w:color w:val="000000"/>
          <w:sz w:val="24"/>
        </w:rPr>
      </w:pPr>
      <w:r w:rsidRPr="00D37924">
        <w:rPr>
          <w:rFonts w:ascii="宋体" w:hAnsi="宋体" w:hint="eastAsia"/>
          <w:color w:val="000000"/>
          <w:sz w:val="24"/>
        </w:rPr>
        <w:t>董事会已确定本激励计划的</w:t>
      </w:r>
      <w:r w:rsidR="00190F81">
        <w:rPr>
          <w:rFonts w:ascii="宋体" w:hAnsi="宋体" w:hint="eastAsia"/>
          <w:color w:val="000000"/>
          <w:sz w:val="24"/>
        </w:rPr>
        <w:t>预留</w:t>
      </w:r>
      <w:r w:rsidRPr="00D37924">
        <w:rPr>
          <w:rFonts w:ascii="宋体" w:hAnsi="宋体" w:hint="eastAsia"/>
          <w:color w:val="000000"/>
          <w:sz w:val="24"/>
        </w:rPr>
        <w:t>授予日为</w:t>
      </w:r>
      <w:r w:rsidR="00E86773" w:rsidRPr="00E86773">
        <w:rPr>
          <w:rFonts w:ascii="宋体" w:hAnsi="宋体"/>
          <w:color w:val="000000"/>
          <w:sz w:val="24"/>
        </w:rPr>
        <w:t>202</w:t>
      </w:r>
      <w:r w:rsidR="00E86773" w:rsidRPr="00E86773">
        <w:rPr>
          <w:rFonts w:ascii="宋体" w:hAnsi="宋体" w:hint="eastAsia"/>
          <w:color w:val="000000"/>
          <w:sz w:val="24"/>
        </w:rPr>
        <w:t>4</w:t>
      </w:r>
      <w:r w:rsidR="00E86773" w:rsidRPr="00E86773">
        <w:rPr>
          <w:rFonts w:ascii="宋体" w:hAnsi="宋体"/>
          <w:color w:val="000000"/>
          <w:sz w:val="24"/>
        </w:rPr>
        <w:t>年</w:t>
      </w:r>
      <w:r w:rsidR="00E86773" w:rsidRPr="00E86773">
        <w:rPr>
          <w:rFonts w:ascii="宋体" w:hAnsi="宋体" w:hint="eastAsia"/>
          <w:color w:val="000000"/>
          <w:sz w:val="24"/>
        </w:rPr>
        <w:t>9</w:t>
      </w:r>
      <w:r w:rsidR="00E86773" w:rsidRPr="00E86773">
        <w:rPr>
          <w:rFonts w:ascii="宋体" w:hAnsi="宋体"/>
          <w:color w:val="000000"/>
          <w:sz w:val="24"/>
        </w:rPr>
        <w:t>月</w:t>
      </w:r>
      <w:r w:rsidR="00E86773" w:rsidRPr="00E86773">
        <w:rPr>
          <w:rFonts w:ascii="宋体" w:hAnsi="宋体" w:hint="eastAsia"/>
          <w:color w:val="000000"/>
          <w:sz w:val="24"/>
        </w:rPr>
        <w:t>2</w:t>
      </w:r>
      <w:r w:rsidR="00E86773" w:rsidRPr="00E86773">
        <w:rPr>
          <w:rFonts w:ascii="宋体" w:hAnsi="宋体"/>
          <w:color w:val="000000"/>
          <w:sz w:val="24"/>
        </w:rPr>
        <w:t>5日</w:t>
      </w:r>
      <w:r w:rsidRPr="00D37924">
        <w:rPr>
          <w:rFonts w:ascii="宋体" w:hAnsi="宋体" w:hint="eastAsia"/>
          <w:color w:val="000000"/>
          <w:sz w:val="24"/>
        </w:rPr>
        <w:t>，根据</w:t>
      </w:r>
      <w:r w:rsidR="00190F81">
        <w:rPr>
          <w:rFonts w:ascii="宋体" w:hAnsi="宋体" w:hint="eastAsia"/>
          <w:color w:val="000000"/>
          <w:sz w:val="24"/>
        </w:rPr>
        <w:t>预留</w:t>
      </w:r>
      <w:r w:rsidRPr="00D37924">
        <w:rPr>
          <w:rFonts w:ascii="宋体" w:hAnsi="宋体" w:hint="eastAsia"/>
          <w:color w:val="000000"/>
          <w:sz w:val="24"/>
        </w:rPr>
        <w:t>授予日的公允价值总额确认本激励计划</w:t>
      </w:r>
      <w:r w:rsidR="00190F81">
        <w:rPr>
          <w:rFonts w:ascii="宋体" w:hAnsi="宋体" w:hint="eastAsia"/>
          <w:color w:val="000000"/>
          <w:sz w:val="24"/>
        </w:rPr>
        <w:t>预留</w:t>
      </w:r>
      <w:r w:rsidRPr="00D37924">
        <w:rPr>
          <w:rFonts w:ascii="宋体" w:hAnsi="宋体" w:hint="eastAsia"/>
          <w:color w:val="000000"/>
          <w:sz w:val="24"/>
        </w:rPr>
        <w:t>授予的限制性股票的激励成本，预计本激励计划</w:t>
      </w:r>
      <w:r w:rsidR="00190F81">
        <w:rPr>
          <w:rFonts w:ascii="宋体" w:hAnsi="宋体" w:hint="eastAsia"/>
          <w:color w:val="000000"/>
          <w:sz w:val="24"/>
        </w:rPr>
        <w:t>预留</w:t>
      </w:r>
      <w:r w:rsidRPr="00D37924">
        <w:rPr>
          <w:rFonts w:ascii="宋体" w:hAnsi="宋体" w:hint="eastAsia"/>
          <w:color w:val="000000"/>
          <w:sz w:val="24"/>
        </w:rPr>
        <w:t>授予的限制性股票对各期会计成本的影响如下表所示：</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507"/>
        <w:gridCol w:w="1261"/>
        <w:gridCol w:w="1260"/>
        <w:gridCol w:w="1261"/>
        <w:gridCol w:w="1261"/>
        <w:gridCol w:w="1261"/>
      </w:tblGrid>
      <w:tr w:rsidR="00E86773" w:rsidRPr="004A6D40" w14:paraId="4777E032" w14:textId="77777777" w:rsidTr="008F1132">
        <w:trPr>
          <w:trHeight w:val="620"/>
          <w:jc w:val="center"/>
        </w:trPr>
        <w:tc>
          <w:tcPr>
            <w:tcW w:w="1624" w:type="dxa"/>
            <w:shd w:val="clear" w:color="auto" w:fill="D9D9D9"/>
            <w:vAlign w:val="center"/>
          </w:tcPr>
          <w:p w14:paraId="1D8D8504" w14:textId="77777777" w:rsidR="00E86773" w:rsidRPr="00A51101" w:rsidRDefault="00E86773" w:rsidP="00A23CA5">
            <w:pPr>
              <w:snapToGrid w:val="0"/>
              <w:spacing w:line="355" w:lineRule="auto"/>
              <w:jc w:val="center"/>
              <w:rPr>
                <w:b/>
                <w:szCs w:val="21"/>
              </w:rPr>
            </w:pPr>
            <w:r w:rsidRPr="00A51101">
              <w:rPr>
                <w:rFonts w:hint="eastAsia"/>
                <w:b/>
                <w:szCs w:val="21"/>
              </w:rPr>
              <w:t>预留</w:t>
            </w:r>
            <w:r w:rsidRPr="00A51101">
              <w:rPr>
                <w:b/>
                <w:szCs w:val="21"/>
              </w:rPr>
              <w:t>授予限制性股票数量（万股）</w:t>
            </w:r>
          </w:p>
        </w:tc>
        <w:tc>
          <w:tcPr>
            <w:tcW w:w="1507" w:type="dxa"/>
            <w:shd w:val="clear" w:color="auto" w:fill="D9D9D9"/>
            <w:vAlign w:val="center"/>
          </w:tcPr>
          <w:p w14:paraId="5934B561" w14:textId="77777777" w:rsidR="00E86773" w:rsidRPr="004A6D40" w:rsidRDefault="00E86773" w:rsidP="00A23CA5">
            <w:pPr>
              <w:snapToGrid w:val="0"/>
              <w:spacing w:line="355" w:lineRule="auto"/>
              <w:jc w:val="center"/>
              <w:rPr>
                <w:b/>
                <w:szCs w:val="21"/>
              </w:rPr>
            </w:pPr>
            <w:r w:rsidRPr="004A6D40">
              <w:rPr>
                <w:b/>
                <w:szCs w:val="21"/>
              </w:rPr>
              <w:t>总成本</w:t>
            </w:r>
          </w:p>
          <w:p w14:paraId="561F3CA7" w14:textId="77777777" w:rsidR="00E86773" w:rsidRPr="004A6D40" w:rsidRDefault="00E86773" w:rsidP="00A23CA5">
            <w:pPr>
              <w:snapToGrid w:val="0"/>
              <w:spacing w:line="355" w:lineRule="auto"/>
              <w:jc w:val="center"/>
              <w:rPr>
                <w:b/>
                <w:szCs w:val="21"/>
              </w:rPr>
            </w:pPr>
            <w:r w:rsidRPr="004A6D40">
              <w:rPr>
                <w:b/>
                <w:szCs w:val="21"/>
              </w:rPr>
              <w:t>（万元）</w:t>
            </w:r>
          </w:p>
        </w:tc>
        <w:tc>
          <w:tcPr>
            <w:tcW w:w="1261" w:type="dxa"/>
            <w:shd w:val="clear" w:color="auto" w:fill="D9D9D9"/>
            <w:vAlign w:val="center"/>
          </w:tcPr>
          <w:p w14:paraId="0766BA86" w14:textId="77777777" w:rsidR="00E86773" w:rsidRPr="004A6D40" w:rsidRDefault="00E86773" w:rsidP="00A23CA5">
            <w:pPr>
              <w:snapToGrid w:val="0"/>
              <w:spacing w:line="355" w:lineRule="auto"/>
              <w:jc w:val="center"/>
              <w:rPr>
                <w:b/>
                <w:szCs w:val="21"/>
              </w:rPr>
            </w:pPr>
            <w:r w:rsidRPr="004A6D40">
              <w:rPr>
                <w:b/>
                <w:szCs w:val="21"/>
              </w:rPr>
              <w:t>2024</w:t>
            </w:r>
            <w:r w:rsidRPr="004A6D40">
              <w:rPr>
                <w:b/>
                <w:szCs w:val="21"/>
              </w:rPr>
              <w:t>年</w:t>
            </w:r>
          </w:p>
          <w:p w14:paraId="0B0E50B8" w14:textId="77777777" w:rsidR="00E86773" w:rsidRPr="004A6D40" w:rsidRDefault="00E86773" w:rsidP="00A23CA5">
            <w:pPr>
              <w:snapToGrid w:val="0"/>
              <w:spacing w:line="355" w:lineRule="auto"/>
              <w:jc w:val="center"/>
              <w:rPr>
                <w:b/>
                <w:szCs w:val="21"/>
              </w:rPr>
            </w:pPr>
            <w:r w:rsidRPr="004A6D40">
              <w:rPr>
                <w:b/>
                <w:szCs w:val="21"/>
              </w:rPr>
              <w:t>（万元）</w:t>
            </w:r>
          </w:p>
        </w:tc>
        <w:tc>
          <w:tcPr>
            <w:tcW w:w="1260" w:type="dxa"/>
            <w:shd w:val="clear" w:color="auto" w:fill="D9D9D9"/>
            <w:vAlign w:val="center"/>
          </w:tcPr>
          <w:p w14:paraId="3F3B5280" w14:textId="77777777" w:rsidR="00E86773" w:rsidRPr="004A6D40" w:rsidRDefault="00E86773" w:rsidP="00A23CA5">
            <w:pPr>
              <w:snapToGrid w:val="0"/>
              <w:spacing w:line="355" w:lineRule="auto"/>
              <w:jc w:val="center"/>
              <w:rPr>
                <w:b/>
                <w:szCs w:val="21"/>
              </w:rPr>
            </w:pPr>
            <w:r w:rsidRPr="004A6D40">
              <w:rPr>
                <w:b/>
                <w:szCs w:val="21"/>
              </w:rPr>
              <w:t>2025</w:t>
            </w:r>
            <w:r w:rsidRPr="004A6D40">
              <w:rPr>
                <w:b/>
                <w:szCs w:val="21"/>
              </w:rPr>
              <w:t>年</w:t>
            </w:r>
          </w:p>
          <w:p w14:paraId="61D8C00E" w14:textId="77777777" w:rsidR="00E86773" w:rsidRPr="004A6D40" w:rsidRDefault="00E86773" w:rsidP="00A23CA5">
            <w:pPr>
              <w:snapToGrid w:val="0"/>
              <w:spacing w:line="355" w:lineRule="auto"/>
              <w:jc w:val="center"/>
              <w:rPr>
                <w:b/>
                <w:szCs w:val="21"/>
              </w:rPr>
            </w:pPr>
            <w:r w:rsidRPr="004A6D40">
              <w:rPr>
                <w:b/>
                <w:szCs w:val="21"/>
              </w:rPr>
              <w:t>（万元）</w:t>
            </w:r>
          </w:p>
        </w:tc>
        <w:tc>
          <w:tcPr>
            <w:tcW w:w="1261" w:type="dxa"/>
            <w:shd w:val="clear" w:color="auto" w:fill="D9D9D9"/>
            <w:vAlign w:val="center"/>
          </w:tcPr>
          <w:p w14:paraId="534CC4D5" w14:textId="77777777" w:rsidR="00E86773" w:rsidRPr="004A6D40" w:rsidRDefault="00E86773" w:rsidP="00A23CA5">
            <w:pPr>
              <w:snapToGrid w:val="0"/>
              <w:spacing w:line="355" w:lineRule="auto"/>
              <w:jc w:val="center"/>
              <w:rPr>
                <w:b/>
                <w:szCs w:val="21"/>
              </w:rPr>
            </w:pPr>
            <w:r w:rsidRPr="004A6D40">
              <w:rPr>
                <w:b/>
                <w:szCs w:val="21"/>
              </w:rPr>
              <w:t>2026</w:t>
            </w:r>
            <w:r w:rsidRPr="004A6D40">
              <w:rPr>
                <w:b/>
                <w:szCs w:val="21"/>
              </w:rPr>
              <w:t>年</w:t>
            </w:r>
          </w:p>
          <w:p w14:paraId="432800DC" w14:textId="77777777" w:rsidR="00E86773" w:rsidRPr="004A6D40" w:rsidRDefault="00E86773" w:rsidP="00A23CA5">
            <w:pPr>
              <w:snapToGrid w:val="0"/>
              <w:spacing w:line="355" w:lineRule="auto"/>
              <w:jc w:val="center"/>
              <w:rPr>
                <w:b/>
                <w:szCs w:val="21"/>
              </w:rPr>
            </w:pPr>
            <w:r w:rsidRPr="004A6D40">
              <w:rPr>
                <w:b/>
                <w:szCs w:val="21"/>
              </w:rPr>
              <w:t>（万元）</w:t>
            </w:r>
          </w:p>
        </w:tc>
        <w:tc>
          <w:tcPr>
            <w:tcW w:w="1261" w:type="dxa"/>
            <w:shd w:val="clear" w:color="auto" w:fill="D9D9D9"/>
            <w:vAlign w:val="center"/>
          </w:tcPr>
          <w:p w14:paraId="70B5DDD2" w14:textId="77777777" w:rsidR="00E86773" w:rsidRPr="004A6D40" w:rsidRDefault="00E86773" w:rsidP="00A23CA5">
            <w:pPr>
              <w:snapToGrid w:val="0"/>
              <w:spacing w:line="355" w:lineRule="auto"/>
              <w:jc w:val="center"/>
              <w:rPr>
                <w:b/>
                <w:szCs w:val="21"/>
              </w:rPr>
            </w:pPr>
            <w:r w:rsidRPr="004A6D40">
              <w:rPr>
                <w:b/>
                <w:szCs w:val="21"/>
              </w:rPr>
              <w:t>2027</w:t>
            </w:r>
            <w:r w:rsidRPr="004A6D40">
              <w:rPr>
                <w:b/>
                <w:szCs w:val="21"/>
              </w:rPr>
              <w:t>年</w:t>
            </w:r>
          </w:p>
          <w:p w14:paraId="0C0BC2B2" w14:textId="77777777" w:rsidR="00E86773" w:rsidRPr="004A6D40" w:rsidRDefault="00E86773" w:rsidP="00A23CA5">
            <w:pPr>
              <w:snapToGrid w:val="0"/>
              <w:spacing w:line="355" w:lineRule="auto"/>
              <w:jc w:val="center"/>
              <w:rPr>
                <w:b/>
                <w:szCs w:val="21"/>
              </w:rPr>
            </w:pPr>
            <w:r w:rsidRPr="004A6D40">
              <w:rPr>
                <w:b/>
                <w:szCs w:val="21"/>
              </w:rPr>
              <w:t>（万元）</w:t>
            </w:r>
          </w:p>
        </w:tc>
        <w:tc>
          <w:tcPr>
            <w:tcW w:w="1261" w:type="dxa"/>
            <w:shd w:val="clear" w:color="auto" w:fill="D9D9D9"/>
            <w:vAlign w:val="center"/>
          </w:tcPr>
          <w:p w14:paraId="3A38CE74" w14:textId="77777777" w:rsidR="00E86773" w:rsidRPr="004A6D40" w:rsidRDefault="00E86773" w:rsidP="00A23CA5">
            <w:pPr>
              <w:snapToGrid w:val="0"/>
              <w:spacing w:line="355" w:lineRule="auto"/>
              <w:jc w:val="center"/>
              <w:rPr>
                <w:b/>
                <w:szCs w:val="21"/>
              </w:rPr>
            </w:pPr>
            <w:r w:rsidRPr="004A6D40">
              <w:rPr>
                <w:b/>
                <w:szCs w:val="21"/>
              </w:rPr>
              <w:t>202</w:t>
            </w:r>
            <w:r>
              <w:rPr>
                <w:rFonts w:hint="eastAsia"/>
                <w:b/>
                <w:szCs w:val="21"/>
              </w:rPr>
              <w:t>8</w:t>
            </w:r>
            <w:r w:rsidRPr="004A6D40">
              <w:rPr>
                <w:b/>
                <w:szCs w:val="21"/>
              </w:rPr>
              <w:t>年</w:t>
            </w:r>
          </w:p>
          <w:p w14:paraId="3054FCED" w14:textId="77777777" w:rsidR="00E86773" w:rsidRPr="004A6D40" w:rsidRDefault="00E86773" w:rsidP="00A23CA5">
            <w:pPr>
              <w:snapToGrid w:val="0"/>
              <w:spacing w:line="355" w:lineRule="auto"/>
              <w:jc w:val="center"/>
              <w:rPr>
                <w:b/>
                <w:szCs w:val="21"/>
              </w:rPr>
            </w:pPr>
            <w:r w:rsidRPr="004A6D40">
              <w:rPr>
                <w:b/>
                <w:szCs w:val="21"/>
              </w:rPr>
              <w:t>（万元）</w:t>
            </w:r>
          </w:p>
        </w:tc>
      </w:tr>
      <w:tr w:rsidR="00E86773" w:rsidRPr="006D4F0D" w14:paraId="131AB2A6" w14:textId="77777777" w:rsidTr="008F1132">
        <w:trPr>
          <w:trHeight w:val="437"/>
          <w:jc w:val="center"/>
        </w:trPr>
        <w:tc>
          <w:tcPr>
            <w:tcW w:w="1624" w:type="dxa"/>
            <w:vAlign w:val="center"/>
          </w:tcPr>
          <w:p w14:paraId="5CE0BEAC" w14:textId="77777777" w:rsidR="00E86773" w:rsidRPr="00A51101" w:rsidRDefault="00E86773" w:rsidP="00A23CA5">
            <w:pPr>
              <w:autoSpaceDE w:val="0"/>
              <w:autoSpaceDN w:val="0"/>
              <w:adjustRightInd w:val="0"/>
              <w:snapToGrid w:val="0"/>
              <w:spacing w:line="355" w:lineRule="auto"/>
              <w:jc w:val="center"/>
              <w:rPr>
                <w:bCs/>
                <w:szCs w:val="21"/>
              </w:rPr>
            </w:pPr>
            <w:r w:rsidRPr="00A51101">
              <w:rPr>
                <w:rFonts w:hint="eastAsia"/>
                <w:bCs/>
                <w:szCs w:val="21"/>
              </w:rPr>
              <w:t>12.00</w:t>
            </w:r>
          </w:p>
        </w:tc>
        <w:tc>
          <w:tcPr>
            <w:tcW w:w="1507" w:type="dxa"/>
            <w:vAlign w:val="center"/>
          </w:tcPr>
          <w:p w14:paraId="34FFA487" w14:textId="77777777" w:rsidR="00E86773" w:rsidRPr="004A6D40" w:rsidRDefault="00E86773" w:rsidP="00A23CA5">
            <w:pPr>
              <w:autoSpaceDE w:val="0"/>
              <w:autoSpaceDN w:val="0"/>
              <w:adjustRightInd w:val="0"/>
              <w:snapToGrid w:val="0"/>
              <w:spacing w:line="355" w:lineRule="auto"/>
              <w:jc w:val="center"/>
              <w:rPr>
                <w:szCs w:val="21"/>
                <w:lang w:bidi="zh-CN"/>
              </w:rPr>
            </w:pPr>
            <w:r w:rsidRPr="00074819">
              <w:rPr>
                <w:szCs w:val="21"/>
                <w:lang w:bidi="zh-CN"/>
              </w:rPr>
              <w:t>14.52</w:t>
            </w:r>
          </w:p>
        </w:tc>
        <w:tc>
          <w:tcPr>
            <w:tcW w:w="1261" w:type="dxa"/>
            <w:vAlign w:val="center"/>
          </w:tcPr>
          <w:p w14:paraId="4E5792ED" w14:textId="5E631855" w:rsidR="00E86773" w:rsidRPr="004A6D40" w:rsidRDefault="00E86773" w:rsidP="00A23CA5">
            <w:pPr>
              <w:widowControl/>
              <w:snapToGrid w:val="0"/>
              <w:spacing w:line="355" w:lineRule="auto"/>
              <w:jc w:val="center"/>
              <w:rPr>
                <w:szCs w:val="21"/>
                <w:lang w:bidi="zh-CN"/>
              </w:rPr>
            </w:pPr>
            <w:r w:rsidRPr="001A2267">
              <w:t>1.38</w:t>
            </w:r>
          </w:p>
        </w:tc>
        <w:tc>
          <w:tcPr>
            <w:tcW w:w="1260" w:type="dxa"/>
            <w:vAlign w:val="center"/>
          </w:tcPr>
          <w:p w14:paraId="10AC7DAB" w14:textId="5291BA76" w:rsidR="00E86773" w:rsidRPr="004A6D40" w:rsidRDefault="00E86773" w:rsidP="00A23CA5">
            <w:pPr>
              <w:widowControl/>
              <w:snapToGrid w:val="0"/>
              <w:spacing w:line="355" w:lineRule="auto"/>
              <w:jc w:val="center"/>
              <w:rPr>
                <w:szCs w:val="21"/>
                <w:lang w:bidi="zh-CN"/>
              </w:rPr>
            </w:pPr>
            <w:r w:rsidRPr="001A2267">
              <w:t>5.23</w:t>
            </w:r>
          </w:p>
        </w:tc>
        <w:tc>
          <w:tcPr>
            <w:tcW w:w="1261" w:type="dxa"/>
            <w:vAlign w:val="center"/>
          </w:tcPr>
          <w:p w14:paraId="445DCE5B" w14:textId="4C9E9484" w:rsidR="00E86773" w:rsidRPr="004A6D40" w:rsidRDefault="00E86773" w:rsidP="00A23CA5">
            <w:pPr>
              <w:widowControl/>
              <w:snapToGrid w:val="0"/>
              <w:spacing w:line="355" w:lineRule="auto"/>
              <w:jc w:val="center"/>
              <w:rPr>
                <w:szCs w:val="21"/>
                <w:lang w:bidi="zh-CN"/>
              </w:rPr>
            </w:pPr>
            <w:r w:rsidRPr="001A2267">
              <w:t>4.59</w:t>
            </w:r>
          </w:p>
        </w:tc>
        <w:tc>
          <w:tcPr>
            <w:tcW w:w="1261" w:type="dxa"/>
            <w:vAlign w:val="center"/>
          </w:tcPr>
          <w:p w14:paraId="5DC24C9A" w14:textId="599E1D36" w:rsidR="00E86773" w:rsidRPr="006D4F0D" w:rsidRDefault="00E86773" w:rsidP="00A23CA5">
            <w:pPr>
              <w:widowControl/>
              <w:snapToGrid w:val="0"/>
              <w:spacing w:line="355" w:lineRule="auto"/>
              <w:jc w:val="center"/>
              <w:rPr>
                <w:szCs w:val="21"/>
                <w:lang w:bidi="zh-CN"/>
              </w:rPr>
            </w:pPr>
            <w:r w:rsidRPr="001A2267">
              <w:t>2.41</w:t>
            </w:r>
          </w:p>
        </w:tc>
        <w:tc>
          <w:tcPr>
            <w:tcW w:w="1261" w:type="dxa"/>
            <w:vAlign w:val="center"/>
          </w:tcPr>
          <w:p w14:paraId="02019E18" w14:textId="02869B9B" w:rsidR="00E86773" w:rsidRPr="006D4F0D" w:rsidRDefault="00E86773" w:rsidP="00A23CA5">
            <w:pPr>
              <w:widowControl/>
              <w:snapToGrid w:val="0"/>
              <w:spacing w:line="355" w:lineRule="auto"/>
              <w:jc w:val="center"/>
              <w:rPr>
                <w:szCs w:val="21"/>
                <w:lang w:bidi="zh-CN"/>
              </w:rPr>
            </w:pPr>
            <w:r w:rsidRPr="001A2267">
              <w:t>0.91</w:t>
            </w:r>
          </w:p>
        </w:tc>
      </w:tr>
    </w:tbl>
    <w:p w14:paraId="50F496C9" w14:textId="77777777" w:rsidR="00F5130D" w:rsidRPr="00631ED9" w:rsidRDefault="00F5130D" w:rsidP="00A23CA5">
      <w:pPr>
        <w:snapToGrid w:val="0"/>
        <w:spacing w:line="355" w:lineRule="auto"/>
        <w:ind w:firstLineChars="200" w:firstLine="420"/>
        <w:rPr>
          <w:bCs/>
          <w:szCs w:val="21"/>
        </w:rPr>
      </w:pPr>
      <w:r w:rsidRPr="00631ED9">
        <w:rPr>
          <w:rFonts w:hint="eastAsia"/>
          <w:bCs/>
          <w:szCs w:val="21"/>
        </w:rPr>
        <w:t>注：上述结果并不代表最终的会计成本。会计成本除了与授予日、授予价格和授予数量相关，还与实际生效和失效的权益数量有关，上述对公司经营成果的影响最终结果将以会计师事务所出具的年度审计报告为准。</w:t>
      </w:r>
    </w:p>
    <w:bookmarkEnd w:id="1"/>
    <w:p w14:paraId="12A1B329" w14:textId="6EB71627" w:rsidR="003065D6" w:rsidRDefault="003065D6" w:rsidP="00A23CA5">
      <w:pPr>
        <w:snapToGrid w:val="0"/>
        <w:spacing w:line="355" w:lineRule="auto"/>
        <w:ind w:firstLineChars="200" w:firstLine="480"/>
        <w:rPr>
          <w:rFonts w:ascii="宋体" w:hAnsi="宋体"/>
          <w:sz w:val="24"/>
        </w:rPr>
      </w:pPr>
      <w:r w:rsidRPr="00881D46">
        <w:rPr>
          <w:rFonts w:ascii="宋体" w:hAnsi="宋体"/>
          <w:sz w:val="24"/>
        </w:rPr>
        <w:t>特此公告。</w:t>
      </w:r>
    </w:p>
    <w:p w14:paraId="00D9BA80" w14:textId="77777777" w:rsidR="00A23CA5" w:rsidRPr="00881D46" w:rsidRDefault="00A23CA5" w:rsidP="00A23CA5">
      <w:pPr>
        <w:snapToGrid w:val="0"/>
        <w:spacing w:line="355" w:lineRule="auto"/>
        <w:ind w:firstLineChars="200" w:firstLine="480"/>
        <w:rPr>
          <w:rFonts w:ascii="宋体" w:hAnsi="宋体"/>
          <w:sz w:val="24"/>
        </w:rPr>
      </w:pPr>
    </w:p>
    <w:p w14:paraId="53C1FA28" w14:textId="77777777" w:rsidR="003065D6" w:rsidRPr="00881D46" w:rsidRDefault="00301160" w:rsidP="00A23CA5">
      <w:pPr>
        <w:snapToGrid w:val="0"/>
        <w:spacing w:line="355" w:lineRule="auto"/>
        <w:jc w:val="right"/>
        <w:rPr>
          <w:rFonts w:ascii="宋体" w:hAnsi="宋体"/>
          <w:sz w:val="24"/>
        </w:rPr>
      </w:pPr>
      <w:r>
        <w:rPr>
          <w:rFonts w:ascii="宋体" w:hAnsi="宋体"/>
          <w:sz w:val="24"/>
        </w:rPr>
        <w:t>安徽铜峰电子股份有限公司</w:t>
      </w:r>
      <w:r w:rsidR="003065D6" w:rsidRPr="00881D46">
        <w:rPr>
          <w:rFonts w:ascii="宋体" w:hAnsi="宋体" w:hint="eastAsia"/>
          <w:sz w:val="24"/>
        </w:rPr>
        <w:t>董事会</w:t>
      </w:r>
    </w:p>
    <w:p w14:paraId="53A6ACD8" w14:textId="5C2A2413" w:rsidR="003065D6" w:rsidRPr="00DF5CBE" w:rsidRDefault="003065D6" w:rsidP="00A23CA5">
      <w:pPr>
        <w:snapToGrid w:val="0"/>
        <w:spacing w:line="355" w:lineRule="auto"/>
        <w:jc w:val="right"/>
        <w:rPr>
          <w:rFonts w:ascii="宋体" w:hAnsi="宋体"/>
          <w:sz w:val="24"/>
        </w:rPr>
      </w:pPr>
      <w:r w:rsidRPr="00DF5CBE">
        <w:rPr>
          <w:rFonts w:ascii="宋体" w:hAnsi="宋体"/>
          <w:sz w:val="24"/>
        </w:rPr>
        <w:t>202</w:t>
      </w:r>
      <w:r w:rsidR="00CD2D0D" w:rsidRPr="00DF5CBE">
        <w:rPr>
          <w:rFonts w:ascii="宋体" w:hAnsi="宋体"/>
          <w:sz w:val="24"/>
        </w:rPr>
        <w:t>4</w:t>
      </w:r>
      <w:r w:rsidRPr="00DF5CBE">
        <w:rPr>
          <w:rFonts w:ascii="宋体" w:hAnsi="宋体"/>
          <w:sz w:val="24"/>
        </w:rPr>
        <w:t>年</w:t>
      </w:r>
      <w:r w:rsidR="00B612FC" w:rsidRPr="00DF5CBE">
        <w:rPr>
          <w:rFonts w:ascii="宋体" w:hAnsi="宋体" w:hint="eastAsia"/>
          <w:sz w:val="24"/>
        </w:rPr>
        <w:t>1</w:t>
      </w:r>
      <w:r w:rsidR="00B612FC" w:rsidRPr="00DF5CBE">
        <w:rPr>
          <w:rFonts w:ascii="宋体" w:hAnsi="宋体"/>
          <w:sz w:val="24"/>
        </w:rPr>
        <w:t>0</w:t>
      </w:r>
      <w:r w:rsidRPr="00DF5CBE">
        <w:rPr>
          <w:rFonts w:ascii="宋体" w:hAnsi="宋体"/>
          <w:sz w:val="24"/>
        </w:rPr>
        <w:t>月</w:t>
      </w:r>
      <w:r w:rsidR="00A67E57" w:rsidRPr="00DF5CBE">
        <w:rPr>
          <w:rFonts w:ascii="宋体" w:hAnsi="宋体" w:hint="eastAsia"/>
          <w:sz w:val="24"/>
        </w:rPr>
        <w:t>16</w:t>
      </w:r>
      <w:r w:rsidRPr="00DF5CBE">
        <w:rPr>
          <w:rFonts w:ascii="宋体" w:hAnsi="宋体"/>
          <w:sz w:val="24"/>
        </w:rPr>
        <w:t>日</w:t>
      </w:r>
    </w:p>
    <w:sectPr w:rsidR="003065D6" w:rsidRPr="00DF5CBE">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B2540" w14:textId="77777777" w:rsidR="0085010E" w:rsidRDefault="0085010E">
      <w:r>
        <w:separator/>
      </w:r>
    </w:p>
  </w:endnote>
  <w:endnote w:type="continuationSeparator" w:id="0">
    <w:p w14:paraId="5B861B96" w14:textId="77777777" w:rsidR="0085010E" w:rsidRDefault="0085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FA4A" w14:textId="77777777" w:rsidR="003065D6" w:rsidRDefault="003065D6">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0218C">
      <w:rPr>
        <w:rStyle w:val="a4"/>
        <w:noProof/>
      </w:rPr>
      <w:t>1</w:t>
    </w:r>
    <w:r>
      <w:rPr>
        <w:rStyle w:val="a4"/>
      </w:rPr>
      <w:fldChar w:fldCharType="end"/>
    </w:r>
  </w:p>
  <w:p w14:paraId="42E1C20C" w14:textId="77777777" w:rsidR="003065D6" w:rsidRDefault="003065D6">
    <w:pPr>
      <w:pStyle w:val="ad"/>
      <w:ind w:right="360"/>
    </w:pPr>
  </w:p>
  <w:p w14:paraId="69DE260A" w14:textId="77777777" w:rsidR="003065D6" w:rsidRDefault="003065D6"/>
  <w:p w14:paraId="0A664C1E" w14:textId="77777777" w:rsidR="003065D6" w:rsidRDefault="003065D6"/>
  <w:p w14:paraId="1182BF64" w14:textId="77777777" w:rsidR="003065D6" w:rsidRDefault="003065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2BC1D" w14:textId="77777777" w:rsidR="003065D6" w:rsidRDefault="003065D6">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44C84" w14:textId="77777777" w:rsidR="0085010E" w:rsidRDefault="0085010E">
      <w:r>
        <w:separator/>
      </w:r>
    </w:p>
  </w:footnote>
  <w:footnote w:type="continuationSeparator" w:id="0">
    <w:p w14:paraId="1002241F" w14:textId="77777777" w:rsidR="0085010E" w:rsidRDefault="0085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1EA"/>
    <w:multiLevelType w:val="hybridMultilevel"/>
    <w:tmpl w:val="C620341A"/>
    <w:lvl w:ilvl="0" w:tplc="C406C324">
      <w:start w:val="2"/>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AF97308"/>
    <w:multiLevelType w:val="hybridMultilevel"/>
    <w:tmpl w:val="AB5EA236"/>
    <w:lvl w:ilvl="0" w:tplc="9B7C4A9A">
      <w:start w:val="1"/>
      <w:numFmt w:val="decimal"/>
      <w:lvlText w:val="%1."/>
      <w:lvlJc w:val="left"/>
      <w:pPr>
        <w:ind w:left="220" w:hanging="181"/>
      </w:pPr>
      <w:rPr>
        <w:rFonts w:ascii="Times New Roman" w:eastAsia="Times New Roman" w:hAnsi="Times New Roman" w:cs="Times New Roman" w:hint="default"/>
        <w:w w:val="100"/>
        <w:sz w:val="22"/>
        <w:szCs w:val="22"/>
        <w:lang w:val="zh-CN" w:eastAsia="zh-CN" w:bidi="zh-CN"/>
      </w:rPr>
    </w:lvl>
    <w:lvl w:ilvl="1" w:tplc="46D60D16">
      <w:numFmt w:val="bullet"/>
      <w:lvlText w:val="•"/>
      <w:lvlJc w:val="left"/>
      <w:pPr>
        <w:ind w:left="1074" w:hanging="181"/>
      </w:pPr>
      <w:rPr>
        <w:rFonts w:hint="default"/>
        <w:lang w:val="zh-CN" w:eastAsia="zh-CN" w:bidi="zh-CN"/>
      </w:rPr>
    </w:lvl>
    <w:lvl w:ilvl="2" w:tplc="6826F5AE">
      <w:numFmt w:val="bullet"/>
      <w:lvlText w:val="•"/>
      <w:lvlJc w:val="left"/>
      <w:pPr>
        <w:ind w:left="1929" w:hanging="181"/>
      </w:pPr>
      <w:rPr>
        <w:rFonts w:hint="default"/>
        <w:lang w:val="zh-CN" w:eastAsia="zh-CN" w:bidi="zh-CN"/>
      </w:rPr>
    </w:lvl>
    <w:lvl w:ilvl="3" w:tplc="B21EDE9C">
      <w:numFmt w:val="bullet"/>
      <w:lvlText w:val="•"/>
      <w:lvlJc w:val="left"/>
      <w:pPr>
        <w:ind w:left="2783" w:hanging="181"/>
      </w:pPr>
      <w:rPr>
        <w:rFonts w:hint="default"/>
        <w:lang w:val="zh-CN" w:eastAsia="zh-CN" w:bidi="zh-CN"/>
      </w:rPr>
    </w:lvl>
    <w:lvl w:ilvl="4" w:tplc="A1D60C56">
      <w:numFmt w:val="bullet"/>
      <w:lvlText w:val="•"/>
      <w:lvlJc w:val="left"/>
      <w:pPr>
        <w:ind w:left="3638" w:hanging="181"/>
      </w:pPr>
      <w:rPr>
        <w:rFonts w:hint="default"/>
        <w:lang w:val="zh-CN" w:eastAsia="zh-CN" w:bidi="zh-CN"/>
      </w:rPr>
    </w:lvl>
    <w:lvl w:ilvl="5" w:tplc="81368B96">
      <w:numFmt w:val="bullet"/>
      <w:lvlText w:val="•"/>
      <w:lvlJc w:val="left"/>
      <w:pPr>
        <w:ind w:left="4493" w:hanging="181"/>
      </w:pPr>
      <w:rPr>
        <w:rFonts w:hint="default"/>
        <w:lang w:val="zh-CN" w:eastAsia="zh-CN" w:bidi="zh-CN"/>
      </w:rPr>
    </w:lvl>
    <w:lvl w:ilvl="6" w:tplc="6ACEDD1E">
      <w:numFmt w:val="bullet"/>
      <w:lvlText w:val="•"/>
      <w:lvlJc w:val="left"/>
      <w:pPr>
        <w:ind w:left="5347" w:hanging="181"/>
      </w:pPr>
      <w:rPr>
        <w:rFonts w:hint="default"/>
        <w:lang w:val="zh-CN" w:eastAsia="zh-CN" w:bidi="zh-CN"/>
      </w:rPr>
    </w:lvl>
    <w:lvl w:ilvl="7" w:tplc="7804C79A">
      <w:numFmt w:val="bullet"/>
      <w:lvlText w:val="•"/>
      <w:lvlJc w:val="left"/>
      <w:pPr>
        <w:ind w:left="6202" w:hanging="181"/>
      </w:pPr>
      <w:rPr>
        <w:rFonts w:hint="default"/>
        <w:lang w:val="zh-CN" w:eastAsia="zh-CN" w:bidi="zh-CN"/>
      </w:rPr>
    </w:lvl>
    <w:lvl w:ilvl="8" w:tplc="06D09C7C">
      <w:numFmt w:val="bullet"/>
      <w:lvlText w:val="•"/>
      <w:lvlJc w:val="left"/>
      <w:pPr>
        <w:ind w:left="7057" w:hanging="181"/>
      </w:pPr>
      <w:rPr>
        <w:rFonts w:hint="default"/>
        <w:lang w:val="zh-CN" w:eastAsia="zh-CN" w:bidi="zh-CN"/>
      </w:rPr>
    </w:lvl>
  </w:abstractNum>
  <w:abstractNum w:abstractNumId="2" w15:restartNumberingAfterBreak="0">
    <w:nsid w:val="1D5D1D6E"/>
    <w:multiLevelType w:val="hybridMultilevel"/>
    <w:tmpl w:val="647EA540"/>
    <w:lvl w:ilvl="0" w:tplc="0B24E132">
      <w:start w:val="1"/>
      <w:numFmt w:val="decimal"/>
      <w:lvlText w:val="%1."/>
      <w:lvlJc w:val="left"/>
      <w:pPr>
        <w:ind w:left="881" w:hanging="181"/>
      </w:pPr>
      <w:rPr>
        <w:rFonts w:ascii="Times New Roman" w:eastAsia="Times New Roman" w:hAnsi="Times New Roman" w:cs="Times New Roman" w:hint="default"/>
        <w:w w:val="100"/>
        <w:sz w:val="22"/>
        <w:szCs w:val="22"/>
        <w:lang w:val="zh-CN" w:eastAsia="zh-CN" w:bidi="zh-CN"/>
      </w:rPr>
    </w:lvl>
    <w:lvl w:ilvl="1" w:tplc="EAA66BA0">
      <w:numFmt w:val="bullet"/>
      <w:lvlText w:val="•"/>
      <w:lvlJc w:val="left"/>
      <w:pPr>
        <w:ind w:left="1668" w:hanging="181"/>
      </w:pPr>
      <w:rPr>
        <w:rFonts w:hint="default"/>
        <w:lang w:val="zh-CN" w:eastAsia="zh-CN" w:bidi="zh-CN"/>
      </w:rPr>
    </w:lvl>
    <w:lvl w:ilvl="2" w:tplc="61DC8DB4">
      <w:numFmt w:val="bullet"/>
      <w:lvlText w:val="•"/>
      <w:lvlJc w:val="left"/>
      <w:pPr>
        <w:ind w:left="2457" w:hanging="181"/>
      </w:pPr>
      <w:rPr>
        <w:rFonts w:hint="default"/>
        <w:lang w:val="zh-CN" w:eastAsia="zh-CN" w:bidi="zh-CN"/>
      </w:rPr>
    </w:lvl>
    <w:lvl w:ilvl="3" w:tplc="DA0A5A10">
      <w:numFmt w:val="bullet"/>
      <w:lvlText w:val="•"/>
      <w:lvlJc w:val="left"/>
      <w:pPr>
        <w:ind w:left="3245" w:hanging="181"/>
      </w:pPr>
      <w:rPr>
        <w:rFonts w:hint="default"/>
        <w:lang w:val="zh-CN" w:eastAsia="zh-CN" w:bidi="zh-CN"/>
      </w:rPr>
    </w:lvl>
    <w:lvl w:ilvl="4" w:tplc="81B214BA">
      <w:numFmt w:val="bullet"/>
      <w:lvlText w:val="•"/>
      <w:lvlJc w:val="left"/>
      <w:pPr>
        <w:ind w:left="4034" w:hanging="181"/>
      </w:pPr>
      <w:rPr>
        <w:rFonts w:hint="default"/>
        <w:lang w:val="zh-CN" w:eastAsia="zh-CN" w:bidi="zh-CN"/>
      </w:rPr>
    </w:lvl>
    <w:lvl w:ilvl="5" w:tplc="97668C08">
      <w:numFmt w:val="bullet"/>
      <w:lvlText w:val="•"/>
      <w:lvlJc w:val="left"/>
      <w:pPr>
        <w:ind w:left="4823" w:hanging="181"/>
      </w:pPr>
      <w:rPr>
        <w:rFonts w:hint="default"/>
        <w:lang w:val="zh-CN" w:eastAsia="zh-CN" w:bidi="zh-CN"/>
      </w:rPr>
    </w:lvl>
    <w:lvl w:ilvl="6" w:tplc="9D5EB4D6">
      <w:numFmt w:val="bullet"/>
      <w:lvlText w:val="•"/>
      <w:lvlJc w:val="left"/>
      <w:pPr>
        <w:ind w:left="5611" w:hanging="181"/>
      </w:pPr>
      <w:rPr>
        <w:rFonts w:hint="default"/>
        <w:lang w:val="zh-CN" w:eastAsia="zh-CN" w:bidi="zh-CN"/>
      </w:rPr>
    </w:lvl>
    <w:lvl w:ilvl="7" w:tplc="F5241208">
      <w:numFmt w:val="bullet"/>
      <w:lvlText w:val="•"/>
      <w:lvlJc w:val="left"/>
      <w:pPr>
        <w:ind w:left="6400" w:hanging="181"/>
      </w:pPr>
      <w:rPr>
        <w:rFonts w:hint="default"/>
        <w:lang w:val="zh-CN" w:eastAsia="zh-CN" w:bidi="zh-CN"/>
      </w:rPr>
    </w:lvl>
    <w:lvl w:ilvl="8" w:tplc="39DE4346">
      <w:numFmt w:val="bullet"/>
      <w:lvlText w:val="•"/>
      <w:lvlJc w:val="left"/>
      <w:pPr>
        <w:ind w:left="7189" w:hanging="181"/>
      </w:pPr>
      <w:rPr>
        <w:rFonts w:hint="default"/>
        <w:lang w:val="zh-CN" w:eastAsia="zh-CN" w:bidi="zh-CN"/>
      </w:rPr>
    </w:lvl>
  </w:abstractNum>
  <w:abstractNum w:abstractNumId="3" w15:restartNumberingAfterBreak="0">
    <w:nsid w:val="1F066976"/>
    <w:multiLevelType w:val="hybridMultilevel"/>
    <w:tmpl w:val="AE9ABCDC"/>
    <w:lvl w:ilvl="0" w:tplc="C242F8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5A7B57"/>
    <w:multiLevelType w:val="hybridMultilevel"/>
    <w:tmpl w:val="0C0EBF0E"/>
    <w:lvl w:ilvl="0" w:tplc="21EEFBB6">
      <w:start w:val="1"/>
      <w:numFmt w:val="decimal"/>
      <w:lvlText w:val="%1."/>
      <w:lvlJc w:val="left"/>
      <w:pPr>
        <w:ind w:left="220" w:hanging="181"/>
      </w:pPr>
      <w:rPr>
        <w:rFonts w:ascii="Times New Roman" w:eastAsia="Times New Roman" w:hAnsi="Times New Roman" w:cs="Times New Roman" w:hint="default"/>
        <w:spacing w:val="-34"/>
        <w:w w:val="100"/>
        <w:sz w:val="22"/>
        <w:szCs w:val="22"/>
        <w:lang w:val="zh-CN" w:eastAsia="zh-CN" w:bidi="zh-CN"/>
      </w:rPr>
    </w:lvl>
    <w:lvl w:ilvl="1" w:tplc="035644A6">
      <w:numFmt w:val="bullet"/>
      <w:lvlText w:val="•"/>
      <w:lvlJc w:val="left"/>
      <w:pPr>
        <w:ind w:left="1074" w:hanging="181"/>
      </w:pPr>
      <w:rPr>
        <w:rFonts w:hint="default"/>
        <w:lang w:val="zh-CN" w:eastAsia="zh-CN" w:bidi="zh-CN"/>
      </w:rPr>
    </w:lvl>
    <w:lvl w:ilvl="2" w:tplc="F30CD65C">
      <w:numFmt w:val="bullet"/>
      <w:lvlText w:val="•"/>
      <w:lvlJc w:val="left"/>
      <w:pPr>
        <w:ind w:left="1929" w:hanging="181"/>
      </w:pPr>
      <w:rPr>
        <w:rFonts w:hint="default"/>
        <w:lang w:val="zh-CN" w:eastAsia="zh-CN" w:bidi="zh-CN"/>
      </w:rPr>
    </w:lvl>
    <w:lvl w:ilvl="3" w:tplc="32EE58E6">
      <w:numFmt w:val="bullet"/>
      <w:lvlText w:val="•"/>
      <w:lvlJc w:val="left"/>
      <w:pPr>
        <w:ind w:left="2783" w:hanging="181"/>
      </w:pPr>
      <w:rPr>
        <w:rFonts w:hint="default"/>
        <w:lang w:val="zh-CN" w:eastAsia="zh-CN" w:bidi="zh-CN"/>
      </w:rPr>
    </w:lvl>
    <w:lvl w:ilvl="4" w:tplc="F98619A0">
      <w:numFmt w:val="bullet"/>
      <w:lvlText w:val="•"/>
      <w:lvlJc w:val="left"/>
      <w:pPr>
        <w:ind w:left="3638" w:hanging="181"/>
      </w:pPr>
      <w:rPr>
        <w:rFonts w:hint="default"/>
        <w:lang w:val="zh-CN" w:eastAsia="zh-CN" w:bidi="zh-CN"/>
      </w:rPr>
    </w:lvl>
    <w:lvl w:ilvl="5" w:tplc="77A0CDAA">
      <w:numFmt w:val="bullet"/>
      <w:lvlText w:val="•"/>
      <w:lvlJc w:val="left"/>
      <w:pPr>
        <w:ind w:left="4493" w:hanging="181"/>
      </w:pPr>
      <w:rPr>
        <w:rFonts w:hint="default"/>
        <w:lang w:val="zh-CN" w:eastAsia="zh-CN" w:bidi="zh-CN"/>
      </w:rPr>
    </w:lvl>
    <w:lvl w:ilvl="6" w:tplc="88F46AFA">
      <w:numFmt w:val="bullet"/>
      <w:lvlText w:val="•"/>
      <w:lvlJc w:val="left"/>
      <w:pPr>
        <w:ind w:left="5347" w:hanging="181"/>
      </w:pPr>
      <w:rPr>
        <w:rFonts w:hint="default"/>
        <w:lang w:val="zh-CN" w:eastAsia="zh-CN" w:bidi="zh-CN"/>
      </w:rPr>
    </w:lvl>
    <w:lvl w:ilvl="7" w:tplc="567669E4">
      <w:numFmt w:val="bullet"/>
      <w:lvlText w:val="•"/>
      <w:lvlJc w:val="left"/>
      <w:pPr>
        <w:ind w:left="6202" w:hanging="181"/>
      </w:pPr>
      <w:rPr>
        <w:rFonts w:hint="default"/>
        <w:lang w:val="zh-CN" w:eastAsia="zh-CN" w:bidi="zh-CN"/>
      </w:rPr>
    </w:lvl>
    <w:lvl w:ilvl="8" w:tplc="ACACEE04">
      <w:numFmt w:val="bullet"/>
      <w:lvlText w:val="•"/>
      <w:lvlJc w:val="left"/>
      <w:pPr>
        <w:ind w:left="7057" w:hanging="181"/>
      </w:pPr>
      <w:rPr>
        <w:rFonts w:hint="default"/>
        <w:lang w:val="zh-CN" w:eastAsia="zh-CN" w:bidi="zh-CN"/>
      </w:rPr>
    </w:lvl>
  </w:abstractNum>
  <w:abstractNum w:abstractNumId="5" w15:restartNumberingAfterBreak="0">
    <w:nsid w:val="24DE1A8C"/>
    <w:multiLevelType w:val="hybridMultilevel"/>
    <w:tmpl w:val="68BA147A"/>
    <w:lvl w:ilvl="0" w:tplc="000C1536">
      <w:numFmt w:val="bullet"/>
      <w:lvlText w:val=""/>
      <w:lvlJc w:val="left"/>
      <w:pPr>
        <w:ind w:left="1060" w:hanging="360"/>
      </w:pPr>
      <w:rPr>
        <w:rFonts w:ascii="Wingdings" w:eastAsia="Wingdings" w:hAnsi="Wingdings" w:cs="Wingdings" w:hint="default"/>
        <w:w w:val="100"/>
        <w:sz w:val="24"/>
        <w:szCs w:val="24"/>
        <w:lang w:val="zh-CN" w:eastAsia="zh-CN" w:bidi="zh-CN"/>
      </w:rPr>
    </w:lvl>
    <w:lvl w:ilvl="1" w:tplc="1824998C">
      <w:numFmt w:val="bullet"/>
      <w:lvlText w:val="•"/>
      <w:lvlJc w:val="left"/>
      <w:pPr>
        <w:ind w:left="1830" w:hanging="360"/>
      </w:pPr>
      <w:rPr>
        <w:rFonts w:hint="default"/>
        <w:lang w:val="zh-CN" w:eastAsia="zh-CN" w:bidi="zh-CN"/>
      </w:rPr>
    </w:lvl>
    <w:lvl w:ilvl="2" w:tplc="F4727F0C">
      <w:numFmt w:val="bullet"/>
      <w:lvlText w:val="•"/>
      <w:lvlJc w:val="left"/>
      <w:pPr>
        <w:ind w:left="2601" w:hanging="360"/>
      </w:pPr>
      <w:rPr>
        <w:rFonts w:hint="default"/>
        <w:lang w:val="zh-CN" w:eastAsia="zh-CN" w:bidi="zh-CN"/>
      </w:rPr>
    </w:lvl>
    <w:lvl w:ilvl="3" w:tplc="899CCECE">
      <w:numFmt w:val="bullet"/>
      <w:lvlText w:val="•"/>
      <w:lvlJc w:val="left"/>
      <w:pPr>
        <w:ind w:left="3371" w:hanging="360"/>
      </w:pPr>
      <w:rPr>
        <w:rFonts w:hint="default"/>
        <w:lang w:val="zh-CN" w:eastAsia="zh-CN" w:bidi="zh-CN"/>
      </w:rPr>
    </w:lvl>
    <w:lvl w:ilvl="4" w:tplc="5D54EABA">
      <w:numFmt w:val="bullet"/>
      <w:lvlText w:val="•"/>
      <w:lvlJc w:val="left"/>
      <w:pPr>
        <w:ind w:left="4142" w:hanging="360"/>
      </w:pPr>
      <w:rPr>
        <w:rFonts w:hint="default"/>
        <w:lang w:val="zh-CN" w:eastAsia="zh-CN" w:bidi="zh-CN"/>
      </w:rPr>
    </w:lvl>
    <w:lvl w:ilvl="5" w:tplc="84FACA08">
      <w:numFmt w:val="bullet"/>
      <w:lvlText w:val="•"/>
      <w:lvlJc w:val="left"/>
      <w:pPr>
        <w:ind w:left="4913" w:hanging="360"/>
      </w:pPr>
      <w:rPr>
        <w:rFonts w:hint="default"/>
        <w:lang w:val="zh-CN" w:eastAsia="zh-CN" w:bidi="zh-CN"/>
      </w:rPr>
    </w:lvl>
    <w:lvl w:ilvl="6" w:tplc="542A1F72">
      <w:numFmt w:val="bullet"/>
      <w:lvlText w:val="•"/>
      <w:lvlJc w:val="left"/>
      <w:pPr>
        <w:ind w:left="5683" w:hanging="360"/>
      </w:pPr>
      <w:rPr>
        <w:rFonts w:hint="default"/>
        <w:lang w:val="zh-CN" w:eastAsia="zh-CN" w:bidi="zh-CN"/>
      </w:rPr>
    </w:lvl>
    <w:lvl w:ilvl="7" w:tplc="E12610BC">
      <w:numFmt w:val="bullet"/>
      <w:lvlText w:val="•"/>
      <w:lvlJc w:val="left"/>
      <w:pPr>
        <w:ind w:left="6454" w:hanging="360"/>
      </w:pPr>
      <w:rPr>
        <w:rFonts w:hint="default"/>
        <w:lang w:val="zh-CN" w:eastAsia="zh-CN" w:bidi="zh-CN"/>
      </w:rPr>
    </w:lvl>
    <w:lvl w:ilvl="8" w:tplc="68D89258">
      <w:numFmt w:val="bullet"/>
      <w:lvlText w:val="•"/>
      <w:lvlJc w:val="left"/>
      <w:pPr>
        <w:ind w:left="7225" w:hanging="360"/>
      </w:pPr>
      <w:rPr>
        <w:rFonts w:hint="default"/>
        <w:lang w:val="zh-CN" w:eastAsia="zh-CN" w:bidi="zh-CN"/>
      </w:rPr>
    </w:lvl>
  </w:abstractNum>
  <w:abstractNum w:abstractNumId="6" w15:restartNumberingAfterBreak="0">
    <w:nsid w:val="28FA279A"/>
    <w:multiLevelType w:val="hybridMultilevel"/>
    <w:tmpl w:val="A972019E"/>
    <w:lvl w:ilvl="0" w:tplc="442CB086">
      <w:start w:val="3"/>
      <w:numFmt w:val="decimal"/>
      <w:lvlText w:val="（%1）"/>
      <w:lvlJc w:val="left"/>
      <w:pPr>
        <w:ind w:left="1150" w:hanging="720"/>
      </w:pPr>
      <w:rPr>
        <w:rFonts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7" w15:restartNumberingAfterBreak="0">
    <w:nsid w:val="33417594"/>
    <w:multiLevelType w:val="hybridMultilevel"/>
    <w:tmpl w:val="E07CA212"/>
    <w:lvl w:ilvl="0" w:tplc="31AACAB6">
      <w:start w:val="1"/>
      <w:numFmt w:val="decimal"/>
      <w:lvlText w:val="（%1）"/>
      <w:lvlJc w:val="left"/>
      <w:pPr>
        <w:ind w:left="1301" w:hanging="601"/>
      </w:pPr>
      <w:rPr>
        <w:rFonts w:ascii="宋体" w:eastAsia="宋体" w:hAnsi="宋体" w:cs="宋体" w:hint="default"/>
        <w:spacing w:val="-60"/>
        <w:w w:val="100"/>
        <w:sz w:val="22"/>
        <w:szCs w:val="22"/>
        <w:lang w:val="zh-CN" w:eastAsia="zh-CN" w:bidi="zh-CN"/>
      </w:rPr>
    </w:lvl>
    <w:lvl w:ilvl="1" w:tplc="3D80DE3A">
      <w:numFmt w:val="bullet"/>
      <w:lvlText w:val="•"/>
      <w:lvlJc w:val="left"/>
      <w:pPr>
        <w:ind w:left="2046" w:hanging="601"/>
      </w:pPr>
      <w:rPr>
        <w:rFonts w:hint="default"/>
        <w:lang w:val="zh-CN" w:eastAsia="zh-CN" w:bidi="zh-CN"/>
      </w:rPr>
    </w:lvl>
    <w:lvl w:ilvl="2" w:tplc="180AC186">
      <w:numFmt w:val="bullet"/>
      <w:lvlText w:val="•"/>
      <w:lvlJc w:val="left"/>
      <w:pPr>
        <w:ind w:left="2793" w:hanging="601"/>
      </w:pPr>
      <w:rPr>
        <w:rFonts w:hint="default"/>
        <w:lang w:val="zh-CN" w:eastAsia="zh-CN" w:bidi="zh-CN"/>
      </w:rPr>
    </w:lvl>
    <w:lvl w:ilvl="3" w:tplc="C0E2123E">
      <w:numFmt w:val="bullet"/>
      <w:lvlText w:val="•"/>
      <w:lvlJc w:val="left"/>
      <w:pPr>
        <w:ind w:left="3539" w:hanging="601"/>
      </w:pPr>
      <w:rPr>
        <w:rFonts w:hint="default"/>
        <w:lang w:val="zh-CN" w:eastAsia="zh-CN" w:bidi="zh-CN"/>
      </w:rPr>
    </w:lvl>
    <w:lvl w:ilvl="4" w:tplc="26AC1F36">
      <w:numFmt w:val="bullet"/>
      <w:lvlText w:val="•"/>
      <w:lvlJc w:val="left"/>
      <w:pPr>
        <w:ind w:left="4286" w:hanging="601"/>
      </w:pPr>
      <w:rPr>
        <w:rFonts w:hint="default"/>
        <w:lang w:val="zh-CN" w:eastAsia="zh-CN" w:bidi="zh-CN"/>
      </w:rPr>
    </w:lvl>
    <w:lvl w:ilvl="5" w:tplc="A4BC5104">
      <w:numFmt w:val="bullet"/>
      <w:lvlText w:val="•"/>
      <w:lvlJc w:val="left"/>
      <w:pPr>
        <w:ind w:left="5033" w:hanging="601"/>
      </w:pPr>
      <w:rPr>
        <w:rFonts w:hint="default"/>
        <w:lang w:val="zh-CN" w:eastAsia="zh-CN" w:bidi="zh-CN"/>
      </w:rPr>
    </w:lvl>
    <w:lvl w:ilvl="6" w:tplc="988E26BA">
      <w:numFmt w:val="bullet"/>
      <w:lvlText w:val="•"/>
      <w:lvlJc w:val="left"/>
      <w:pPr>
        <w:ind w:left="5779" w:hanging="601"/>
      </w:pPr>
      <w:rPr>
        <w:rFonts w:hint="default"/>
        <w:lang w:val="zh-CN" w:eastAsia="zh-CN" w:bidi="zh-CN"/>
      </w:rPr>
    </w:lvl>
    <w:lvl w:ilvl="7" w:tplc="39E8E8AA">
      <w:numFmt w:val="bullet"/>
      <w:lvlText w:val="•"/>
      <w:lvlJc w:val="left"/>
      <w:pPr>
        <w:ind w:left="6526" w:hanging="601"/>
      </w:pPr>
      <w:rPr>
        <w:rFonts w:hint="default"/>
        <w:lang w:val="zh-CN" w:eastAsia="zh-CN" w:bidi="zh-CN"/>
      </w:rPr>
    </w:lvl>
    <w:lvl w:ilvl="8" w:tplc="3DE6ECDE">
      <w:numFmt w:val="bullet"/>
      <w:lvlText w:val="•"/>
      <w:lvlJc w:val="left"/>
      <w:pPr>
        <w:ind w:left="7273" w:hanging="601"/>
      </w:pPr>
      <w:rPr>
        <w:rFonts w:hint="default"/>
        <w:lang w:val="zh-CN" w:eastAsia="zh-CN" w:bidi="zh-CN"/>
      </w:rPr>
    </w:lvl>
  </w:abstractNum>
  <w:abstractNum w:abstractNumId="8" w15:restartNumberingAfterBreak="0">
    <w:nsid w:val="3C233E80"/>
    <w:multiLevelType w:val="hybridMultilevel"/>
    <w:tmpl w:val="03C26246"/>
    <w:lvl w:ilvl="0" w:tplc="4CBADAB6">
      <w:start w:val="4"/>
      <w:numFmt w:val="decimal"/>
      <w:lvlText w:val="%1、"/>
      <w:lvlJc w:val="left"/>
      <w:pPr>
        <w:ind w:left="1059" w:hanging="360"/>
      </w:pPr>
      <w:rPr>
        <w:rFonts w:hint="default"/>
      </w:rPr>
    </w:lvl>
    <w:lvl w:ilvl="1" w:tplc="04090019" w:tentative="1">
      <w:start w:val="1"/>
      <w:numFmt w:val="lowerLetter"/>
      <w:lvlText w:val="%2)"/>
      <w:lvlJc w:val="left"/>
      <w:pPr>
        <w:ind w:left="1539" w:hanging="420"/>
      </w:pPr>
    </w:lvl>
    <w:lvl w:ilvl="2" w:tplc="0409001B" w:tentative="1">
      <w:start w:val="1"/>
      <w:numFmt w:val="lowerRoman"/>
      <w:lvlText w:val="%3."/>
      <w:lvlJc w:val="right"/>
      <w:pPr>
        <w:ind w:left="1959" w:hanging="420"/>
      </w:pPr>
    </w:lvl>
    <w:lvl w:ilvl="3" w:tplc="0409000F" w:tentative="1">
      <w:start w:val="1"/>
      <w:numFmt w:val="decimal"/>
      <w:lvlText w:val="%4."/>
      <w:lvlJc w:val="left"/>
      <w:pPr>
        <w:ind w:left="2379" w:hanging="420"/>
      </w:pPr>
    </w:lvl>
    <w:lvl w:ilvl="4" w:tplc="04090019" w:tentative="1">
      <w:start w:val="1"/>
      <w:numFmt w:val="lowerLetter"/>
      <w:lvlText w:val="%5)"/>
      <w:lvlJc w:val="left"/>
      <w:pPr>
        <w:ind w:left="2799" w:hanging="420"/>
      </w:pPr>
    </w:lvl>
    <w:lvl w:ilvl="5" w:tplc="0409001B" w:tentative="1">
      <w:start w:val="1"/>
      <w:numFmt w:val="lowerRoman"/>
      <w:lvlText w:val="%6."/>
      <w:lvlJc w:val="right"/>
      <w:pPr>
        <w:ind w:left="3219" w:hanging="420"/>
      </w:pPr>
    </w:lvl>
    <w:lvl w:ilvl="6" w:tplc="0409000F" w:tentative="1">
      <w:start w:val="1"/>
      <w:numFmt w:val="decimal"/>
      <w:lvlText w:val="%7."/>
      <w:lvlJc w:val="left"/>
      <w:pPr>
        <w:ind w:left="3639" w:hanging="420"/>
      </w:pPr>
    </w:lvl>
    <w:lvl w:ilvl="7" w:tplc="04090019" w:tentative="1">
      <w:start w:val="1"/>
      <w:numFmt w:val="lowerLetter"/>
      <w:lvlText w:val="%8)"/>
      <w:lvlJc w:val="left"/>
      <w:pPr>
        <w:ind w:left="4059" w:hanging="420"/>
      </w:pPr>
    </w:lvl>
    <w:lvl w:ilvl="8" w:tplc="0409001B" w:tentative="1">
      <w:start w:val="1"/>
      <w:numFmt w:val="lowerRoman"/>
      <w:lvlText w:val="%9."/>
      <w:lvlJc w:val="right"/>
      <w:pPr>
        <w:ind w:left="4479" w:hanging="420"/>
      </w:pPr>
    </w:lvl>
  </w:abstractNum>
  <w:abstractNum w:abstractNumId="9" w15:restartNumberingAfterBreak="0">
    <w:nsid w:val="3FCB0BE3"/>
    <w:multiLevelType w:val="hybridMultilevel"/>
    <w:tmpl w:val="48F08BAA"/>
    <w:lvl w:ilvl="0" w:tplc="8CA8AE66">
      <w:start w:val="1"/>
      <w:numFmt w:val="decimal"/>
      <w:lvlText w:val="（%1）"/>
      <w:lvlJc w:val="left"/>
      <w:pPr>
        <w:ind w:left="220" w:hanging="601"/>
      </w:pPr>
      <w:rPr>
        <w:rFonts w:ascii="宋体" w:eastAsia="宋体" w:hAnsi="宋体" w:cs="宋体" w:hint="default"/>
        <w:w w:val="100"/>
        <w:sz w:val="22"/>
        <w:szCs w:val="22"/>
        <w:lang w:val="zh-CN" w:eastAsia="zh-CN" w:bidi="zh-CN"/>
      </w:rPr>
    </w:lvl>
    <w:lvl w:ilvl="1" w:tplc="F34C3DE4">
      <w:numFmt w:val="bullet"/>
      <w:lvlText w:val="•"/>
      <w:lvlJc w:val="left"/>
      <w:pPr>
        <w:ind w:left="1074" w:hanging="601"/>
      </w:pPr>
      <w:rPr>
        <w:rFonts w:hint="default"/>
        <w:lang w:val="zh-CN" w:eastAsia="zh-CN" w:bidi="zh-CN"/>
      </w:rPr>
    </w:lvl>
    <w:lvl w:ilvl="2" w:tplc="BFA0D330">
      <w:numFmt w:val="bullet"/>
      <w:lvlText w:val="•"/>
      <w:lvlJc w:val="left"/>
      <w:pPr>
        <w:ind w:left="1929" w:hanging="601"/>
      </w:pPr>
      <w:rPr>
        <w:rFonts w:hint="default"/>
        <w:lang w:val="zh-CN" w:eastAsia="zh-CN" w:bidi="zh-CN"/>
      </w:rPr>
    </w:lvl>
    <w:lvl w:ilvl="3" w:tplc="5436F3FE">
      <w:numFmt w:val="bullet"/>
      <w:lvlText w:val="•"/>
      <w:lvlJc w:val="left"/>
      <w:pPr>
        <w:ind w:left="2783" w:hanging="601"/>
      </w:pPr>
      <w:rPr>
        <w:rFonts w:hint="default"/>
        <w:lang w:val="zh-CN" w:eastAsia="zh-CN" w:bidi="zh-CN"/>
      </w:rPr>
    </w:lvl>
    <w:lvl w:ilvl="4" w:tplc="0D26D474">
      <w:numFmt w:val="bullet"/>
      <w:lvlText w:val="•"/>
      <w:lvlJc w:val="left"/>
      <w:pPr>
        <w:ind w:left="3638" w:hanging="601"/>
      </w:pPr>
      <w:rPr>
        <w:rFonts w:hint="default"/>
        <w:lang w:val="zh-CN" w:eastAsia="zh-CN" w:bidi="zh-CN"/>
      </w:rPr>
    </w:lvl>
    <w:lvl w:ilvl="5" w:tplc="26562B90">
      <w:numFmt w:val="bullet"/>
      <w:lvlText w:val="•"/>
      <w:lvlJc w:val="left"/>
      <w:pPr>
        <w:ind w:left="4493" w:hanging="601"/>
      </w:pPr>
      <w:rPr>
        <w:rFonts w:hint="default"/>
        <w:lang w:val="zh-CN" w:eastAsia="zh-CN" w:bidi="zh-CN"/>
      </w:rPr>
    </w:lvl>
    <w:lvl w:ilvl="6" w:tplc="908A619E">
      <w:numFmt w:val="bullet"/>
      <w:lvlText w:val="•"/>
      <w:lvlJc w:val="left"/>
      <w:pPr>
        <w:ind w:left="5347" w:hanging="601"/>
      </w:pPr>
      <w:rPr>
        <w:rFonts w:hint="default"/>
        <w:lang w:val="zh-CN" w:eastAsia="zh-CN" w:bidi="zh-CN"/>
      </w:rPr>
    </w:lvl>
    <w:lvl w:ilvl="7" w:tplc="54D86F24">
      <w:numFmt w:val="bullet"/>
      <w:lvlText w:val="•"/>
      <w:lvlJc w:val="left"/>
      <w:pPr>
        <w:ind w:left="6202" w:hanging="601"/>
      </w:pPr>
      <w:rPr>
        <w:rFonts w:hint="default"/>
        <w:lang w:val="zh-CN" w:eastAsia="zh-CN" w:bidi="zh-CN"/>
      </w:rPr>
    </w:lvl>
    <w:lvl w:ilvl="8" w:tplc="443C1B84">
      <w:numFmt w:val="bullet"/>
      <w:lvlText w:val="•"/>
      <w:lvlJc w:val="left"/>
      <w:pPr>
        <w:ind w:left="7057" w:hanging="601"/>
      </w:pPr>
      <w:rPr>
        <w:rFonts w:hint="default"/>
        <w:lang w:val="zh-CN" w:eastAsia="zh-CN" w:bidi="zh-CN"/>
      </w:rPr>
    </w:lvl>
  </w:abstractNum>
  <w:abstractNum w:abstractNumId="10" w15:restartNumberingAfterBreak="0">
    <w:nsid w:val="46434611"/>
    <w:multiLevelType w:val="hybridMultilevel"/>
    <w:tmpl w:val="6E68218A"/>
    <w:lvl w:ilvl="0" w:tplc="24A63E54">
      <w:start w:val="1"/>
      <w:numFmt w:val="decimal"/>
      <w:lvlText w:val="（%1）"/>
      <w:lvlJc w:val="left"/>
      <w:pPr>
        <w:ind w:left="220" w:hanging="601"/>
      </w:pPr>
      <w:rPr>
        <w:rFonts w:ascii="宋体" w:eastAsia="宋体" w:hAnsi="宋体" w:cs="宋体" w:hint="default"/>
        <w:w w:val="100"/>
        <w:sz w:val="22"/>
        <w:szCs w:val="22"/>
        <w:lang w:val="zh-CN" w:eastAsia="zh-CN" w:bidi="zh-CN"/>
      </w:rPr>
    </w:lvl>
    <w:lvl w:ilvl="1" w:tplc="734EDAA6">
      <w:numFmt w:val="bullet"/>
      <w:lvlText w:val="•"/>
      <w:lvlJc w:val="left"/>
      <w:pPr>
        <w:ind w:left="1074" w:hanging="601"/>
      </w:pPr>
      <w:rPr>
        <w:rFonts w:hint="default"/>
        <w:lang w:val="zh-CN" w:eastAsia="zh-CN" w:bidi="zh-CN"/>
      </w:rPr>
    </w:lvl>
    <w:lvl w:ilvl="2" w:tplc="C778D66A">
      <w:numFmt w:val="bullet"/>
      <w:lvlText w:val="•"/>
      <w:lvlJc w:val="left"/>
      <w:pPr>
        <w:ind w:left="1929" w:hanging="601"/>
      </w:pPr>
      <w:rPr>
        <w:rFonts w:hint="default"/>
        <w:lang w:val="zh-CN" w:eastAsia="zh-CN" w:bidi="zh-CN"/>
      </w:rPr>
    </w:lvl>
    <w:lvl w:ilvl="3" w:tplc="409CF54E">
      <w:numFmt w:val="bullet"/>
      <w:lvlText w:val="•"/>
      <w:lvlJc w:val="left"/>
      <w:pPr>
        <w:ind w:left="2783" w:hanging="601"/>
      </w:pPr>
      <w:rPr>
        <w:rFonts w:hint="default"/>
        <w:lang w:val="zh-CN" w:eastAsia="zh-CN" w:bidi="zh-CN"/>
      </w:rPr>
    </w:lvl>
    <w:lvl w:ilvl="4" w:tplc="6D76E9FE">
      <w:numFmt w:val="bullet"/>
      <w:lvlText w:val="•"/>
      <w:lvlJc w:val="left"/>
      <w:pPr>
        <w:ind w:left="3638" w:hanging="601"/>
      </w:pPr>
      <w:rPr>
        <w:rFonts w:hint="default"/>
        <w:lang w:val="zh-CN" w:eastAsia="zh-CN" w:bidi="zh-CN"/>
      </w:rPr>
    </w:lvl>
    <w:lvl w:ilvl="5" w:tplc="539CDED0">
      <w:numFmt w:val="bullet"/>
      <w:lvlText w:val="•"/>
      <w:lvlJc w:val="left"/>
      <w:pPr>
        <w:ind w:left="4493" w:hanging="601"/>
      </w:pPr>
      <w:rPr>
        <w:rFonts w:hint="default"/>
        <w:lang w:val="zh-CN" w:eastAsia="zh-CN" w:bidi="zh-CN"/>
      </w:rPr>
    </w:lvl>
    <w:lvl w:ilvl="6" w:tplc="8F1CC16E">
      <w:numFmt w:val="bullet"/>
      <w:lvlText w:val="•"/>
      <w:lvlJc w:val="left"/>
      <w:pPr>
        <w:ind w:left="5347" w:hanging="601"/>
      </w:pPr>
      <w:rPr>
        <w:rFonts w:hint="default"/>
        <w:lang w:val="zh-CN" w:eastAsia="zh-CN" w:bidi="zh-CN"/>
      </w:rPr>
    </w:lvl>
    <w:lvl w:ilvl="7" w:tplc="375C2C88">
      <w:numFmt w:val="bullet"/>
      <w:lvlText w:val="•"/>
      <w:lvlJc w:val="left"/>
      <w:pPr>
        <w:ind w:left="6202" w:hanging="601"/>
      </w:pPr>
      <w:rPr>
        <w:rFonts w:hint="default"/>
        <w:lang w:val="zh-CN" w:eastAsia="zh-CN" w:bidi="zh-CN"/>
      </w:rPr>
    </w:lvl>
    <w:lvl w:ilvl="8" w:tplc="BFA6B4C4">
      <w:numFmt w:val="bullet"/>
      <w:lvlText w:val="•"/>
      <w:lvlJc w:val="left"/>
      <w:pPr>
        <w:ind w:left="7057" w:hanging="601"/>
      </w:pPr>
      <w:rPr>
        <w:rFonts w:hint="default"/>
        <w:lang w:val="zh-CN" w:eastAsia="zh-CN" w:bidi="zh-CN"/>
      </w:rPr>
    </w:lvl>
  </w:abstractNum>
  <w:abstractNum w:abstractNumId="11" w15:restartNumberingAfterBreak="0">
    <w:nsid w:val="520B2BBF"/>
    <w:multiLevelType w:val="hybridMultilevel"/>
    <w:tmpl w:val="D54C49DA"/>
    <w:lvl w:ilvl="0" w:tplc="C40CA37E">
      <w:start w:val="1"/>
      <w:numFmt w:val="decimal"/>
      <w:lvlText w:val="（%1）"/>
      <w:lvlJc w:val="left"/>
      <w:pPr>
        <w:ind w:left="1301" w:hanging="601"/>
      </w:pPr>
      <w:rPr>
        <w:rFonts w:ascii="宋体" w:eastAsia="宋体" w:hAnsi="宋体" w:cs="宋体" w:hint="default"/>
        <w:w w:val="100"/>
        <w:sz w:val="22"/>
        <w:szCs w:val="22"/>
        <w:lang w:val="zh-CN" w:eastAsia="zh-CN" w:bidi="zh-CN"/>
      </w:rPr>
    </w:lvl>
    <w:lvl w:ilvl="1" w:tplc="A2981002">
      <w:numFmt w:val="bullet"/>
      <w:lvlText w:val="•"/>
      <w:lvlJc w:val="left"/>
      <w:pPr>
        <w:ind w:left="2046" w:hanging="601"/>
      </w:pPr>
      <w:rPr>
        <w:rFonts w:hint="default"/>
        <w:lang w:val="zh-CN" w:eastAsia="zh-CN" w:bidi="zh-CN"/>
      </w:rPr>
    </w:lvl>
    <w:lvl w:ilvl="2" w:tplc="61EC2CFE">
      <w:numFmt w:val="bullet"/>
      <w:lvlText w:val="•"/>
      <w:lvlJc w:val="left"/>
      <w:pPr>
        <w:ind w:left="2793" w:hanging="601"/>
      </w:pPr>
      <w:rPr>
        <w:rFonts w:hint="default"/>
        <w:lang w:val="zh-CN" w:eastAsia="zh-CN" w:bidi="zh-CN"/>
      </w:rPr>
    </w:lvl>
    <w:lvl w:ilvl="3" w:tplc="58C27B88">
      <w:numFmt w:val="bullet"/>
      <w:lvlText w:val="•"/>
      <w:lvlJc w:val="left"/>
      <w:pPr>
        <w:ind w:left="3539" w:hanging="601"/>
      </w:pPr>
      <w:rPr>
        <w:rFonts w:hint="default"/>
        <w:lang w:val="zh-CN" w:eastAsia="zh-CN" w:bidi="zh-CN"/>
      </w:rPr>
    </w:lvl>
    <w:lvl w:ilvl="4" w:tplc="B498B002">
      <w:numFmt w:val="bullet"/>
      <w:lvlText w:val="•"/>
      <w:lvlJc w:val="left"/>
      <w:pPr>
        <w:ind w:left="4286" w:hanging="601"/>
      </w:pPr>
      <w:rPr>
        <w:rFonts w:hint="default"/>
        <w:lang w:val="zh-CN" w:eastAsia="zh-CN" w:bidi="zh-CN"/>
      </w:rPr>
    </w:lvl>
    <w:lvl w:ilvl="5" w:tplc="A9E2D162">
      <w:numFmt w:val="bullet"/>
      <w:lvlText w:val="•"/>
      <w:lvlJc w:val="left"/>
      <w:pPr>
        <w:ind w:left="5033" w:hanging="601"/>
      </w:pPr>
      <w:rPr>
        <w:rFonts w:hint="default"/>
        <w:lang w:val="zh-CN" w:eastAsia="zh-CN" w:bidi="zh-CN"/>
      </w:rPr>
    </w:lvl>
    <w:lvl w:ilvl="6" w:tplc="2C16CE1A">
      <w:numFmt w:val="bullet"/>
      <w:lvlText w:val="•"/>
      <w:lvlJc w:val="left"/>
      <w:pPr>
        <w:ind w:left="5779" w:hanging="601"/>
      </w:pPr>
      <w:rPr>
        <w:rFonts w:hint="default"/>
        <w:lang w:val="zh-CN" w:eastAsia="zh-CN" w:bidi="zh-CN"/>
      </w:rPr>
    </w:lvl>
    <w:lvl w:ilvl="7" w:tplc="441069E2">
      <w:numFmt w:val="bullet"/>
      <w:lvlText w:val="•"/>
      <w:lvlJc w:val="left"/>
      <w:pPr>
        <w:ind w:left="6526" w:hanging="601"/>
      </w:pPr>
      <w:rPr>
        <w:rFonts w:hint="default"/>
        <w:lang w:val="zh-CN" w:eastAsia="zh-CN" w:bidi="zh-CN"/>
      </w:rPr>
    </w:lvl>
    <w:lvl w:ilvl="8" w:tplc="949455CE">
      <w:numFmt w:val="bullet"/>
      <w:lvlText w:val="•"/>
      <w:lvlJc w:val="left"/>
      <w:pPr>
        <w:ind w:left="7273" w:hanging="601"/>
      </w:pPr>
      <w:rPr>
        <w:rFonts w:hint="default"/>
        <w:lang w:val="zh-CN" w:eastAsia="zh-CN" w:bidi="zh-CN"/>
      </w:rPr>
    </w:lvl>
  </w:abstractNum>
  <w:abstractNum w:abstractNumId="12" w15:restartNumberingAfterBreak="0">
    <w:nsid w:val="560F344C"/>
    <w:multiLevelType w:val="hybridMultilevel"/>
    <w:tmpl w:val="B1742C24"/>
    <w:lvl w:ilvl="0" w:tplc="9972379C">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8295486"/>
    <w:multiLevelType w:val="hybridMultilevel"/>
    <w:tmpl w:val="CEB80AFA"/>
    <w:lvl w:ilvl="0" w:tplc="8E667E60">
      <w:start w:val="1"/>
      <w:numFmt w:val="decimal"/>
      <w:lvlText w:val="（%1）"/>
      <w:lvlJc w:val="left"/>
      <w:pPr>
        <w:ind w:left="1301" w:hanging="601"/>
      </w:pPr>
      <w:rPr>
        <w:rFonts w:ascii="宋体" w:eastAsia="宋体" w:hAnsi="宋体" w:cs="宋体" w:hint="default"/>
        <w:spacing w:val="-60"/>
        <w:w w:val="100"/>
        <w:sz w:val="22"/>
        <w:szCs w:val="22"/>
        <w:lang w:val="zh-CN" w:eastAsia="zh-CN" w:bidi="zh-CN"/>
      </w:rPr>
    </w:lvl>
    <w:lvl w:ilvl="1" w:tplc="CB0E7F76">
      <w:numFmt w:val="bullet"/>
      <w:lvlText w:val="•"/>
      <w:lvlJc w:val="left"/>
      <w:pPr>
        <w:ind w:left="2046" w:hanging="601"/>
      </w:pPr>
      <w:rPr>
        <w:rFonts w:hint="default"/>
        <w:lang w:val="zh-CN" w:eastAsia="zh-CN" w:bidi="zh-CN"/>
      </w:rPr>
    </w:lvl>
    <w:lvl w:ilvl="2" w:tplc="696E210A">
      <w:numFmt w:val="bullet"/>
      <w:lvlText w:val="•"/>
      <w:lvlJc w:val="left"/>
      <w:pPr>
        <w:ind w:left="2793" w:hanging="601"/>
      </w:pPr>
      <w:rPr>
        <w:rFonts w:hint="default"/>
        <w:lang w:val="zh-CN" w:eastAsia="zh-CN" w:bidi="zh-CN"/>
      </w:rPr>
    </w:lvl>
    <w:lvl w:ilvl="3" w:tplc="DB8C45D4">
      <w:numFmt w:val="bullet"/>
      <w:lvlText w:val="•"/>
      <w:lvlJc w:val="left"/>
      <w:pPr>
        <w:ind w:left="3539" w:hanging="601"/>
      </w:pPr>
      <w:rPr>
        <w:rFonts w:hint="default"/>
        <w:lang w:val="zh-CN" w:eastAsia="zh-CN" w:bidi="zh-CN"/>
      </w:rPr>
    </w:lvl>
    <w:lvl w:ilvl="4" w:tplc="6290B042">
      <w:numFmt w:val="bullet"/>
      <w:lvlText w:val="•"/>
      <w:lvlJc w:val="left"/>
      <w:pPr>
        <w:ind w:left="4286" w:hanging="601"/>
      </w:pPr>
      <w:rPr>
        <w:rFonts w:hint="default"/>
        <w:lang w:val="zh-CN" w:eastAsia="zh-CN" w:bidi="zh-CN"/>
      </w:rPr>
    </w:lvl>
    <w:lvl w:ilvl="5" w:tplc="7E90FC30">
      <w:numFmt w:val="bullet"/>
      <w:lvlText w:val="•"/>
      <w:lvlJc w:val="left"/>
      <w:pPr>
        <w:ind w:left="5033" w:hanging="601"/>
      </w:pPr>
      <w:rPr>
        <w:rFonts w:hint="default"/>
        <w:lang w:val="zh-CN" w:eastAsia="zh-CN" w:bidi="zh-CN"/>
      </w:rPr>
    </w:lvl>
    <w:lvl w:ilvl="6" w:tplc="47CA7F08">
      <w:numFmt w:val="bullet"/>
      <w:lvlText w:val="•"/>
      <w:lvlJc w:val="left"/>
      <w:pPr>
        <w:ind w:left="5779" w:hanging="601"/>
      </w:pPr>
      <w:rPr>
        <w:rFonts w:hint="default"/>
        <w:lang w:val="zh-CN" w:eastAsia="zh-CN" w:bidi="zh-CN"/>
      </w:rPr>
    </w:lvl>
    <w:lvl w:ilvl="7" w:tplc="FBD23146">
      <w:numFmt w:val="bullet"/>
      <w:lvlText w:val="•"/>
      <w:lvlJc w:val="left"/>
      <w:pPr>
        <w:ind w:left="6526" w:hanging="601"/>
      </w:pPr>
      <w:rPr>
        <w:rFonts w:hint="default"/>
        <w:lang w:val="zh-CN" w:eastAsia="zh-CN" w:bidi="zh-CN"/>
      </w:rPr>
    </w:lvl>
    <w:lvl w:ilvl="8" w:tplc="B2D888F2">
      <w:numFmt w:val="bullet"/>
      <w:lvlText w:val="•"/>
      <w:lvlJc w:val="left"/>
      <w:pPr>
        <w:ind w:left="7273" w:hanging="601"/>
      </w:pPr>
      <w:rPr>
        <w:rFonts w:hint="default"/>
        <w:lang w:val="zh-CN" w:eastAsia="zh-CN" w:bidi="zh-CN"/>
      </w:rPr>
    </w:lvl>
  </w:abstractNum>
  <w:abstractNum w:abstractNumId="14" w15:restartNumberingAfterBreak="0">
    <w:nsid w:val="70122A9F"/>
    <w:multiLevelType w:val="hybridMultilevel"/>
    <w:tmpl w:val="8A8A3EF0"/>
    <w:lvl w:ilvl="0" w:tplc="587ACA4E">
      <w:start w:val="6"/>
      <w:numFmt w:val="japaneseCounting"/>
      <w:lvlText w:val="%1、"/>
      <w:lvlJc w:val="left"/>
      <w:pPr>
        <w:ind w:left="1202" w:hanging="500"/>
      </w:pPr>
      <w:rPr>
        <w:rFonts w:hint="default"/>
      </w:rPr>
    </w:lvl>
    <w:lvl w:ilvl="1" w:tplc="04090019" w:tentative="1">
      <w:start w:val="1"/>
      <w:numFmt w:val="lowerLetter"/>
      <w:lvlText w:val="%2)"/>
      <w:lvlJc w:val="left"/>
      <w:pPr>
        <w:ind w:left="1542" w:hanging="420"/>
      </w:pPr>
    </w:lvl>
    <w:lvl w:ilvl="2" w:tplc="0409001B" w:tentative="1">
      <w:start w:val="1"/>
      <w:numFmt w:val="lowerRoman"/>
      <w:lvlText w:val="%3."/>
      <w:lvlJc w:val="right"/>
      <w:pPr>
        <w:ind w:left="1962" w:hanging="420"/>
      </w:pPr>
    </w:lvl>
    <w:lvl w:ilvl="3" w:tplc="0409000F" w:tentative="1">
      <w:start w:val="1"/>
      <w:numFmt w:val="decimal"/>
      <w:lvlText w:val="%4."/>
      <w:lvlJc w:val="left"/>
      <w:pPr>
        <w:ind w:left="2382" w:hanging="420"/>
      </w:pPr>
    </w:lvl>
    <w:lvl w:ilvl="4" w:tplc="04090019" w:tentative="1">
      <w:start w:val="1"/>
      <w:numFmt w:val="lowerLetter"/>
      <w:lvlText w:val="%5)"/>
      <w:lvlJc w:val="left"/>
      <w:pPr>
        <w:ind w:left="2802" w:hanging="420"/>
      </w:pPr>
    </w:lvl>
    <w:lvl w:ilvl="5" w:tplc="0409001B" w:tentative="1">
      <w:start w:val="1"/>
      <w:numFmt w:val="lowerRoman"/>
      <w:lvlText w:val="%6."/>
      <w:lvlJc w:val="right"/>
      <w:pPr>
        <w:ind w:left="3222" w:hanging="420"/>
      </w:pPr>
    </w:lvl>
    <w:lvl w:ilvl="6" w:tplc="0409000F" w:tentative="1">
      <w:start w:val="1"/>
      <w:numFmt w:val="decimal"/>
      <w:lvlText w:val="%7."/>
      <w:lvlJc w:val="left"/>
      <w:pPr>
        <w:ind w:left="3642" w:hanging="420"/>
      </w:pPr>
    </w:lvl>
    <w:lvl w:ilvl="7" w:tplc="04090019" w:tentative="1">
      <w:start w:val="1"/>
      <w:numFmt w:val="lowerLetter"/>
      <w:lvlText w:val="%8)"/>
      <w:lvlJc w:val="left"/>
      <w:pPr>
        <w:ind w:left="4062" w:hanging="420"/>
      </w:pPr>
    </w:lvl>
    <w:lvl w:ilvl="8" w:tplc="0409001B" w:tentative="1">
      <w:start w:val="1"/>
      <w:numFmt w:val="lowerRoman"/>
      <w:lvlText w:val="%9."/>
      <w:lvlJc w:val="right"/>
      <w:pPr>
        <w:ind w:left="4482" w:hanging="420"/>
      </w:pPr>
    </w:lvl>
  </w:abstractNum>
  <w:abstractNum w:abstractNumId="15" w15:restartNumberingAfterBreak="0">
    <w:nsid w:val="735379F2"/>
    <w:multiLevelType w:val="hybridMultilevel"/>
    <w:tmpl w:val="F8546D06"/>
    <w:lvl w:ilvl="0" w:tplc="07E4F5A2">
      <w:start w:val="1"/>
      <w:numFmt w:val="decimal"/>
      <w:lvlText w:val="%1."/>
      <w:lvlJc w:val="left"/>
      <w:pPr>
        <w:ind w:left="881" w:hanging="181"/>
      </w:pPr>
      <w:rPr>
        <w:rFonts w:ascii="Times New Roman" w:eastAsia="Times New Roman" w:hAnsi="Times New Roman" w:cs="Times New Roman" w:hint="default"/>
        <w:w w:val="100"/>
        <w:sz w:val="22"/>
        <w:szCs w:val="22"/>
        <w:lang w:val="zh-CN" w:eastAsia="zh-CN" w:bidi="zh-CN"/>
      </w:rPr>
    </w:lvl>
    <w:lvl w:ilvl="1" w:tplc="EEB8C656">
      <w:numFmt w:val="bullet"/>
      <w:lvlText w:val="•"/>
      <w:lvlJc w:val="left"/>
      <w:pPr>
        <w:ind w:left="1668" w:hanging="181"/>
      </w:pPr>
      <w:rPr>
        <w:rFonts w:hint="default"/>
        <w:lang w:val="zh-CN" w:eastAsia="zh-CN" w:bidi="zh-CN"/>
      </w:rPr>
    </w:lvl>
    <w:lvl w:ilvl="2" w:tplc="57F85EF8">
      <w:numFmt w:val="bullet"/>
      <w:lvlText w:val="•"/>
      <w:lvlJc w:val="left"/>
      <w:pPr>
        <w:ind w:left="2457" w:hanging="181"/>
      </w:pPr>
      <w:rPr>
        <w:rFonts w:hint="default"/>
        <w:lang w:val="zh-CN" w:eastAsia="zh-CN" w:bidi="zh-CN"/>
      </w:rPr>
    </w:lvl>
    <w:lvl w:ilvl="3" w:tplc="B3F8B596">
      <w:numFmt w:val="bullet"/>
      <w:lvlText w:val="•"/>
      <w:lvlJc w:val="left"/>
      <w:pPr>
        <w:ind w:left="3245" w:hanging="181"/>
      </w:pPr>
      <w:rPr>
        <w:rFonts w:hint="default"/>
        <w:lang w:val="zh-CN" w:eastAsia="zh-CN" w:bidi="zh-CN"/>
      </w:rPr>
    </w:lvl>
    <w:lvl w:ilvl="4" w:tplc="E41C9E10">
      <w:numFmt w:val="bullet"/>
      <w:lvlText w:val="•"/>
      <w:lvlJc w:val="left"/>
      <w:pPr>
        <w:ind w:left="4034" w:hanging="181"/>
      </w:pPr>
      <w:rPr>
        <w:rFonts w:hint="default"/>
        <w:lang w:val="zh-CN" w:eastAsia="zh-CN" w:bidi="zh-CN"/>
      </w:rPr>
    </w:lvl>
    <w:lvl w:ilvl="5" w:tplc="3D44BF5A">
      <w:numFmt w:val="bullet"/>
      <w:lvlText w:val="•"/>
      <w:lvlJc w:val="left"/>
      <w:pPr>
        <w:ind w:left="4823" w:hanging="181"/>
      </w:pPr>
      <w:rPr>
        <w:rFonts w:hint="default"/>
        <w:lang w:val="zh-CN" w:eastAsia="zh-CN" w:bidi="zh-CN"/>
      </w:rPr>
    </w:lvl>
    <w:lvl w:ilvl="6" w:tplc="94E495CC">
      <w:numFmt w:val="bullet"/>
      <w:lvlText w:val="•"/>
      <w:lvlJc w:val="left"/>
      <w:pPr>
        <w:ind w:left="5611" w:hanging="181"/>
      </w:pPr>
      <w:rPr>
        <w:rFonts w:hint="default"/>
        <w:lang w:val="zh-CN" w:eastAsia="zh-CN" w:bidi="zh-CN"/>
      </w:rPr>
    </w:lvl>
    <w:lvl w:ilvl="7" w:tplc="290AC894">
      <w:numFmt w:val="bullet"/>
      <w:lvlText w:val="•"/>
      <w:lvlJc w:val="left"/>
      <w:pPr>
        <w:ind w:left="6400" w:hanging="181"/>
      </w:pPr>
      <w:rPr>
        <w:rFonts w:hint="default"/>
        <w:lang w:val="zh-CN" w:eastAsia="zh-CN" w:bidi="zh-CN"/>
      </w:rPr>
    </w:lvl>
    <w:lvl w:ilvl="8" w:tplc="67E8B426">
      <w:numFmt w:val="bullet"/>
      <w:lvlText w:val="•"/>
      <w:lvlJc w:val="left"/>
      <w:pPr>
        <w:ind w:left="7189" w:hanging="181"/>
      </w:pPr>
      <w:rPr>
        <w:rFonts w:hint="default"/>
        <w:lang w:val="zh-CN" w:eastAsia="zh-CN" w:bidi="zh-CN"/>
      </w:rPr>
    </w:lvl>
  </w:abstractNum>
  <w:abstractNum w:abstractNumId="16" w15:restartNumberingAfterBreak="0">
    <w:nsid w:val="73D04A65"/>
    <w:multiLevelType w:val="hybridMultilevel"/>
    <w:tmpl w:val="91AC152C"/>
    <w:lvl w:ilvl="0" w:tplc="A6769782">
      <w:start w:val="2"/>
      <w:numFmt w:val="decimal"/>
      <w:lvlText w:val="（%1）"/>
      <w:lvlJc w:val="left"/>
      <w:pPr>
        <w:ind w:left="1216" w:hanging="557"/>
      </w:pPr>
      <w:rPr>
        <w:rFonts w:ascii="宋体" w:eastAsia="宋体" w:hAnsi="宋体" w:cs="宋体" w:hint="default"/>
        <w:spacing w:val="0"/>
        <w:w w:val="100"/>
        <w:sz w:val="20"/>
        <w:szCs w:val="20"/>
        <w:lang w:val="zh-CN" w:eastAsia="zh-CN" w:bidi="zh-CN"/>
      </w:rPr>
    </w:lvl>
    <w:lvl w:ilvl="1" w:tplc="EBF0D940">
      <w:numFmt w:val="bullet"/>
      <w:lvlText w:val="•"/>
      <w:lvlJc w:val="left"/>
      <w:pPr>
        <w:ind w:left="1974" w:hanging="557"/>
      </w:pPr>
      <w:rPr>
        <w:rFonts w:hint="default"/>
        <w:lang w:val="zh-CN" w:eastAsia="zh-CN" w:bidi="zh-CN"/>
      </w:rPr>
    </w:lvl>
    <w:lvl w:ilvl="2" w:tplc="20FE3B82">
      <w:numFmt w:val="bullet"/>
      <w:lvlText w:val="•"/>
      <w:lvlJc w:val="left"/>
      <w:pPr>
        <w:ind w:left="2729" w:hanging="557"/>
      </w:pPr>
      <w:rPr>
        <w:rFonts w:hint="default"/>
        <w:lang w:val="zh-CN" w:eastAsia="zh-CN" w:bidi="zh-CN"/>
      </w:rPr>
    </w:lvl>
    <w:lvl w:ilvl="3" w:tplc="386A8F4C">
      <w:numFmt w:val="bullet"/>
      <w:lvlText w:val="•"/>
      <w:lvlJc w:val="left"/>
      <w:pPr>
        <w:ind w:left="3483" w:hanging="557"/>
      </w:pPr>
      <w:rPr>
        <w:rFonts w:hint="default"/>
        <w:lang w:val="zh-CN" w:eastAsia="zh-CN" w:bidi="zh-CN"/>
      </w:rPr>
    </w:lvl>
    <w:lvl w:ilvl="4" w:tplc="CA608274">
      <w:numFmt w:val="bullet"/>
      <w:lvlText w:val="•"/>
      <w:lvlJc w:val="left"/>
      <w:pPr>
        <w:ind w:left="4238" w:hanging="557"/>
      </w:pPr>
      <w:rPr>
        <w:rFonts w:hint="default"/>
        <w:lang w:val="zh-CN" w:eastAsia="zh-CN" w:bidi="zh-CN"/>
      </w:rPr>
    </w:lvl>
    <w:lvl w:ilvl="5" w:tplc="2B2A76DE">
      <w:numFmt w:val="bullet"/>
      <w:lvlText w:val="•"/>
      <w:lvlJc w:val="left"/>
      <w:pPr>
        <w:ind w:left="4993" w:hanging="557"/>
      </w:pPr>
      <w:rPr>
        <w:rFonts w:hint="default"/>
        <w:lang w:val="zh-CN" w:eastAsia="zh-CN" w:bidi="zh-CN"/>
      </w:rPr>
    </w:lvl>
    <w:lvl w:ilvl="6" w:tplc="A678B2F6">
      <w:numFmt w:val="bullet"/>
      <w:lvlText w:val="•"/>
      <w:lvlJc w:val="left"/>
      <w:pPr>
        <w:ind w:left="5747" w:hanging="557"/>
      </w:pPr>
      <w:rPr>
        <w:rFonts w:hint="default"/>
        <w:lang w:val="zh-CN" w:eastAsia="zh-CN" w:bidi="zh-CN"/>
      </w:rPr>
    </w:lvl>
    <w:lvl w:ilvl="7" w:tplc="3AC27298">
      <w:numFmt w:val="bullet"/>
      <w:lvlText w:val="•"/>
      <w:lvlJc w:val="left"/>
      <w:pPr>
        <w:ind w:left="6502" w:hanging="557"/>
      </w:pPr>
      <w:rPr>
        <w:rFonts w:hint="default"/>
        <w:lang w:val="zh-CN" w:eastAsia="zh-CN" w:bidi="zh-CN"/>
      </w:rPr>
    </w:lvl>
    <w:lvl w:ilvl="8" w:tplc="D388C260">
      <w:numFmt w:val="bullet"/>
      <w:lvlText w:val="•"/>
      <w:lvlJc w:val="left"/>
      <w:pPr>
        <w:ind w:left="7257" w:hanging="557"/>
      </w:pPr>
      <w:rPr>
        <w:rFonts w:hint="default"/>
        <w:lang w:val="zh-CN" w:eastAsia="zh-CN" w:bidi="zh-CN"/>
      </w:rPr>
    </w:lvl>
  </w:abstractNum>
  <w:num w:numId="1">
    <w:abstractNumId w:val="15"/>
  </w:num>
  <w:num w:numId="2">
    <w:abstractNumId w:val="4"/>
  </w:num>
  <w:num w:numId="3">
    <w:abstractNumId w:val="10"/>
  </w:num>
  <w:num w:numId="4">
    <w:abstractNumId w:val="7"/>
  </w:num>
  <w:num w:numId="5">
    <w:abstractNumId w:val="1"/>
  </w:num>
  <w:num w:numId="6">
    <w:abstractNumId w:val="16"/>
  </w:num>
  <w:num w:numId="7">
    <w:abstractNumId w:val="11"/>
  </w:num>
  <w:num w:numId="8">
    <w:abstractNumId w:val="13"/>
  </w:num>
  <w:num w:numId="9">
    <w:abstractNumId w:val="9"/>
  </w:num>
  <w:num w:numId="10">
    <w:abstractNumId w:val="2"/>
  </w:num>
  <w:num w:numId="11">
    <w:abstractNumId w:val="5"/>
  </w:num>
  <w:num w:numId="12">
    <w:abstractNumId w:val="3"/>
  </w:num>
  <w:num w:numId="13">
    <w:abstractNumId w:val="12"/>
  </w:num>
  <w:num w:numId="14">
    <w:abstractNumId w:val="8"/>
  </w:num>
  <w:num w:numId="15">
    <w:abstractNumId w:val="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A1"/>
    <w:rsid w:val="0000390E"/>
    <w:rsid w:val="00005DEA"/>
    <w:rsid w:val="00012FA5"/>
    <w:rsid w:val="000139BE"/>
    <w:rsid w:val="00017FE3"/>
    <w:rsid w:val="000213BD"/>
    <w:rsid w:val="00025ABA"/>
    <w:rsid w:val="000301F4"/>
    <w:rsid w:val="00033267"/>
    <w:rsid w:val="00042199"/>
    <w:rsid w:val="00045A4C"/>
    <w:rsid w:val="0004721D"/>
    <w:rsid w:val="00050295"/>
    <w:rsid w:val="00055841"/>
    <w:rsid w:val="00057539"/>
    <w:rsid w:val="00062434"/>
    <w:rsid w:val="00070355"/>
    <w:rsid w:val="00073A13"/>
    <w:rsid w:val="00074E15"/>
    <w:rsid w:val="000754C3"/>
    <w:rsid w:val="0007764A"/>
    <w:rsid w:val="000804B9"/>
    <w:rsid w:val="0008289C"/>
    <w:rsid w:val="000837C7"/>
    <w:rsid w:val="00090183"/>
    <w:rsid w:val="00092C48"/>
    <w:rsid w:val="000A0967"/>
    <w:rsid w:val="000A27CA"/>
    <w:rsid w:val="000A2BB6"/>
    <w:rsid w:val="000A57A8"/>
    <w:rsid w:val="000A67E3"/>
    <w:rsid w:val="000A792C"/>
    <w:rsid w:val="000B3672"/>
    <w:rsid w:val="000C1BA8"/>
    <w:rsid w:val="000C7FC8"/>
    <w:rsid w:val="000D43A1"/>
    <w:rsid w:val="000D495F"/>
    <w:rsid w:val="000D6D55"/>
    <w:rsid w:val="000E55E9"/>
    <w:rsid w:val="000E64F2"/>
    <w:rsid w:val="000E6D44"/>
    <w:rsid w:val="000E7FC9"/>
    <w:rsid w:val="000F1766"/>
    <w:rsid w:val="000F22AC"/>
    <w:rsid w:val="000F22F3"/>
    <w:rsid w:val="000F2816"/>
    <w:rsid w:val="000F30C1"/>
    <w:rsid w:val="000F550A"/>
    <w:rsid w:val="000F6279"/>
    <w:rsid w:val="001007D1"/>
    <w:rsid w:val="00100C36"/>
    <w:rsid w:val="00104486"/>
    <w:rsid w:val="001101C9"/>
    <w:rsid w:val="00111506"/>
    <w:rsid w:val="0011305A"/>
    <w:rsid w:val="001142EF"/>
    <w:rsid w:val="00117E82"/>
    <w:rsid w:val="0012395C"/>
    <w:rsid w:val="00130DFB"/>
    <w:rsid w:val="0013619D"/>
    <w:rsid w:val="001366F0"/>
    <w:rsid w:val="00141D36"/>
    <w:rsid w:val="0014320C"/>
    <w:rsid w:val="00143380"/>
    <w:rsid w:val="0014393E"/>
    <w:rsid w:val="00144151"/>
    <w:rsid w:val="001451EB"/>
    <w:rsid w:val="00151003"/>
    <w:rsid w:val="00153863"/>
    <w:rsid w:val="00154C03"/>
    <w:rsid w:val="00167BAF"/>
    <w:rsid w:val="00177EBE"/>
    <w:rsid w:val="00180272"/>
    <w:rsid w:val="00183835"/>
    <w:rsid w:val="0018418E"/>
    <w:rsid w:val="00186FD5"/>
    <w:rsid w:val="00190F81"/>
    <w:rsid w:val="00192E5E"/>
    <w:rsid w:val="00193599"/>
    <w:rsid w:val="0019689B"/>
    <w:rsid w:val="00197681"/>
    <w:rsid w:val="001A1F42"/>
    <w:rsid w:val="001A24B8"/>
    <w:rsid w:val="001A37C6"/>
    <w:rsid w:val="001A7A64"/>
    <w:rsid w:val="001B05A2"/>
    <w:rsid w:val="001B4978"/>
    <w:rsid w:val="001B7157"/>
    <w:rsid w:val="001C0816"/>
    <w:rsid w:val="001C33B7"/>
    <w:rsid w:val="001D22E1"/>
    <w:rsid w:val="001D4451"/>
    <w:rsid w:val="001D7CC8"/>
    <w:rsid w:val="001E0448"/>
    <w:rsid w:val="001E4289"/>
    <w:rsid w:val="001E6FDF"/>
    <w:rsid w:val="001F2725"/>
    <w:rsid w:val="001F39B1"/>
    <w:rsid w:val="001F3C3E"/>
    <w:rsid w:val="001F6B46"/>
    <w:rsid w:val="0020031C"/>
    <w:rsid w:val="00203F92"/>
    <w:rsid w:val="0020642B"/>
    <w:rsid w:val="00206B2A"/>
    <w:rsid w:val="00211B1E"/>
    <w:rsid w:val="00213054"/>
    <w:rsid w:val="00215986"/>
    <w:rsid w:val="0022098C"/>
    <w:rsid w:val="002216BC"/>
    <w:rsid w:val="002240A3"/>
    <w:rsid w:val="00226BBA"/>
    <w:rsid w:val="00226E1E"/>
    <w:rsid w:val="002274E4"/>
    <w:rsid w:val="00231A4C"/>
    <w:rsid w:val="00232900"/>
    <w:rsid w:val="00232ED8"/>
    <w:rsid w:val="00235B06"/>
    <w:rsid w:val="00240FC0"/>
    <w:rsid w:val="00251A5D"/>
    <w:rsid w:val="00252C62"/>
    <w:rsid w:val="00254681"/>
    <w:rsid w:val="00254B91"/>
    <w:rsid w:val="00256EDB"/>
    <w:rsid w:val="00257C6B"/>
    <w:rsid w:val="00261DFA"/>
    <w:rsid w:val="002624D6"/>
    <w:rsid w:val="00262ED3"/>
    <w:rsid w:val="00263ADD"/>
    <w:rsid w:val="00266352"/>
    <w:rsid w:val="00266999"/>
    <w:rsid w:val="002716F8"/>
    <w:rsid w:val="00271EDC"/>
    <w:rsid w:val="00272157"/>
    <w:rsid w:val="00274BEB"/>
    <w:rsid w:val="002755A5"/>
    <w:rsid w:val="00276474"/>
    <w:rsid w:val="0027701B"/>
    <w:rsid w:val="002821D7"/>
    <w:rsid w:val="00284621"/>
    <w:rsid w:val="0028734D"/>
    <w:rsid w:val="00291805"/>
    <w:rsid w:val="00293862"/>
    <w:rsid w:val="00297593"/>
    <w:rsid w:val="002A0B17"/>
    <w:rsid w:val="002A6A12"/>
    <w:rsid w:val="002B0F3E"/>
    <w:rsid w:val="002B144C"/>
    <w:rsid w:val="002B564E"/>
    <w:rsid w:val="002C0027"/>
    <w:rsid w:val="002C62A2"/>
    <w:rsid w:val="002D4C1F"/>
    <w:rsid w:val="002D7261"/>
    <w:rsid w:val="002F39EA"/>
    <w:rsid w:val="002F7BA7"/>
    <w:rsid w:val="002F7FC4"/>
    <w:rsid w:val="00301160"/>
    <w:rsid w:val="00301DB4"/>
    <w:rsid w:val="00306142"/>
    <w:rsid w:val="003065D6"/>
    <w:rsid w:val="0030707B"/>
    <w:rsid w:val="003074CF"/>
    <w:rsid w:val="003075B4"/>
    <w:rsid w:val="00310B2E"/>
    <w:rsid w:val="0031336E"/>
    <w:rsid w:val="00317512"/>
    <w:rsid w:val="00322F97"/>
    <w:rsid w:val="00326940"/>
    <w:rsid w:val="00326C52"/>
    <w:rsid w:val="0033200F"/>
    <w:rsid w:val="00332D87"/>
    <w:rsid w:val="00334D7E"/>
    <w:rsid w:val="00340E2C"/>
    <w:rsid w:val="00344E50"/>
    <w:rsid w:val="00346FAA"/>
    <w:rsid w:val="00350FFE"/>
    <w:rsid w:val="00354ADE"/>
    <w:rsid w:val="00357010"/>
    <w:rsid w:val="003618EE"/>
    <w:rsid w:val="00361939"/>
    <w:rsid w:val="00364343"/>
    <w:rsid w:val="00367B68"/>
    <w:rsid w:val="00370170"/>
    <w:rsid w:val="003733BD"/>
    <w:rsid w:val="0037365F"/>
    <w:rsid w:val="003758FE"/>
    <w:rsid w:val="00376F70"/>
    <w:rsid w:val="0037775E"/>
    <w:rsid w:val="003841C8"/>
    <w:rsid w:val="00384FA2"/>
    <w:rsid w:val="00385157"/>
    <w:rsid w:val="0038779E"/>
    <w:rsid w:val="00390F7A"/>
    <w:rsid w:val="00391B3B"/>
    <w:rsid w:val="00391E93"/>
    <w:rsid w:val="0039399C"/>
    <w:rsid w:val="003B046D"/>
    <w:rsid w:val="003B0F70"/>
    <w:rsid w:val="003B2DDA"/>
    <w:rsid w:val="003B76E2"/>
    <w:rsid w:val="003C2C21"/>
    <w:rsid w:val="003C2DC8"/>
    <w:rsid w:val="003C3BFA"/>
    <w:rsid w:val="003D0BAF"/>
    <w:rsid w:val="003D2A49"/>
    <w:rsid w:val="003D2C6E"/>
    <w:rsid w:val="003D5314"/>
    <w:rsid w:val="003D6763"/>
    <w:rsid w:val="003E1EB7"/>
    <w:rsid w:val="003E3988"/>
    <w:rsid w:val="003E4E38"/>
    <w:rsid w:val="003E5FDE"/>
    <w:rsid w:val="004018D9"/>
    <w:rsid w:val="00401F99"/>
    <w:rsid w:val="004025CD"/>
    <w:rsid w:val="00402769"/>
    <w:rsid w:val="00405DA2"/>
    <w:rsid w:val="004104E2"/>
    <w:rsid w:val="0041388F"/>
    <w:rsid w:val="004141D0"/>
    <w:rsid w:val="004152B9"/>
    <w:rsid w:val="00416B31"/>
    <w:rsid w:val="00420967"/>
    <w:rsid w:val="00421AE9"/>
    <w:rsid w:val="00424CFB"/>
    <w:rsid w:val="00430244"/>
    <w:rsid w:val="004306E0"/>
    <w:rsid w:val="00430F17"/>
    <w:rsid w:val="004325A5"/>
    <w:rsid w:val="0043646C"/>
    <w:rsid w:val="0044140D"/>
    <w:rsid w:val="004475BC"/>
    <w:rsid w:val="00450E3E"/>
    <w:rsid w:val="00453F90"/>
    <w:rsid w:val="00455378"/>
    <w:rsid w:val="00460BEE"/>
    <w:rsid w:val="004610CD"/>
    <w:rsid w:val="0046161D"/>
    <w:rsid w:val="00462413"/>
    <w:rsid w:val="00462791"/>
    <w:rsid w:val="00465A70"/>
    <w:rsid w:val="00465D32"/>
    <w:rsid w:val="0047241A"/>
    <w:rsid w:val="00475D14"/>
    <w:rsid w:val="00476D03"/>
    <w:rsid w:val="0048097C"/>
    <w:rsid w:val="00480C75"/>
    <w:rsid w:val="00482012"/>
    <w:rsid w:val="00485C16"/>
    <w:rsid w:val="00495D62"/>
    <w:rsid w:val="004A0721"/>
    <w:rsid w:val="004A7FE3"/>
    <w:rsid w:val="004B0082"/>
    <w:rsid w:val="004B0AEF"/>
    <w:rsid w:val="004B0B34"/>
    <w:rsid w:val="004B75E8"/>
    <w:rsid w:val="004C3391"/>
    <w:rsid w:val="004C5591"/>
    <w:rsid w:val="004C5925"/>
    <w:rsid w:val="004D4907"/>
    <w:rsid w:val="004E16CA"/>
    <w:rsid w:val="004E3AEF"/>
    <w:rsid w:val="004E6E44"/>
    <w:rsid w:val="004F2C74"/>
    <w:rsid w:val="004F2C8D"/>
    <w:rsid w:val="004F75A7"/>
    <w:rsid w:val="005005D8"/>
    <w:rsid w:val="005007E9"/>
    <w:rsid w:val="005011E5"/>
    <w:rsid w:val="00503406"/>
    <w:rsid w:val="0050747B"/>
    <w:rsid w:val="005078FD"/>
    <w:rsid w:val="005107BD"/>
    <w:rsid w:val="005108C4"/>
    <w:rsid w:val="00512057"/>
    <w:rsid w:val="0051280D"/>
    <w:rsid w:val="005134F1"/>
    <w:rsid w:val="00515250"/>
    <w:rsid w:val="00515493"/>
    <w:rsid w:val="00516347"/>
    <w:rsid w:val="005175C9"/>
    <w:rsid w:val="0052279C"/>
    <w:rsid w:val="00524770"/>
    <w:rsid w:val="00532CD6"/>
    <w:rsid w:val="00536417"/>
    <w:rsid w:val="005400BB"/>
    <w:rsid w:val="0054051E"/>
    <w:rsid w:val="00540617"/>
    <w:rsid w:val="00543160"/>
    <w:rsid w:val="0055102D"/>
    <w:rsid w:val="00551D80"/>
    <w:rsid w:val="00554477"/>
    <w:rsid w:val="00555FD3"/>
    <w:rsid w:val="00557180"/>
    <w:rsid w:val="00557B26"/>
    <w:rsid w:val="00560E12"/>
    <w:rsid w:val="00563DC7"/>
    <w:rsid w:val="00565666"/>
    <w:rsid w:val="00565DA0"/>
    <w:rsid w:val="00570931"/>
    <w:rsid w:val="00571C45"/>
    <w:rsid w:val="0057316E"/>
    <w:rsid w:val="005759AF"/>
    <w:rsid w:val="00575D61"/>
    <w:rsid w:val="0058093C"/>
    <w:rsid w:val="00583141"/>
    <w:rsid w:val="00584015"/>
    <w:rsid w:val="00586C6F"/>
    <w:rsid w:val="00587211"/>
    <w:rsid w:val="00593903"/>
    <w:rsid w:val="005968E2"/>
    <w:rsid w:val="005A2973"/>
    <w:rsid w:val="005A477C"/>
    <w:rsid w:val="005A4EAE"/>
    <w:rsid w:val="005B5C09"/>
    <w:rsid w:val="005B624F"/>
    <w:rsid w:val="005C5107"/>
    <w:rsid w:val="005D4D23"/>
    <w:rsid w:val="005D5483"/>
    <w:rsid w:val="005D667A"/>
    <w:rsid w:val="005E0EBA"/>
    <w:rsid w:val="005E2716"/>
    <w:rsid w:val="005E5CDD"/>
    <w:rsid w:val="005E7537"/>
    <w:rsid w:val="005F1FC8"/>
    <w:rsid w:val="005F3E31"/>
    <w:rsid w:val="0060218C"/>
    <w:rsid w:val="00603C63"/>
    <w:rsid w:val="006047CD"/>
    <w:rsid w:val="00604CCD"/>
    <w:rsid w:val="00613A26"/>
    <w:rsid w:val="00613C42"/>
    <w:rsid w:val="006148B1"/>
    <w:rsid w:val="006177B7"/>
    <w:rsid w:val="0062312D"/>
    <w:rsid w:val="00624204"/>
    <w:rsid w:val="0062488A"/>
    <w:rsid w:val="00626BFA"/>
    <w:rsid w:val="00627FBA"/>
    <w:rsid w:val="00630B7A"/>
    <w:rsid w:val="00631ED9"/>
    <w:rsid w:val="006341D0"/>
    <w:rsid w:val="00634E99"/>
    <w:rsid w:val="006353B3"/>
    <w:rsid w:val="00640289"/>
    <w:rsid w:val="006432D4"/>
    <w:rsid w:val="00643B1F"/>
    <w:rsid w:val="00644BAC"/>
    <w:rsid w:val="006454A1"/>
    <w:rsid w:val="006462A4"/>
    <w:rsid w:val="00650801"/>
    <w:rsid w:val="006546B8"/>
    <w:rsid w:val="00654CE6"/>
    <w:rsid w:val="00655F0B"/>
    <w:rsid w:val="006577E8"/>
    <w:rsid w:val="00657999"/>
    <w:rsid w:val="00657C87"/>
    <w:rsid w:val="00660D10"/>
    <w:rsid w:val="00665D9C"/>
    <w:rsid w:val="0067043D"/>
    <w:rsid w:val="00677FE7"/>
    <w:rsid w:val="0068231F"/>
    <w:rsid w:val="0068479E"/>
    <w:rsid w:val="006861CB"/>
    <w:rsid w:val="00687461"/>
    <w:rsid w:val="00694B6E"/>
    <w:rsid w:val="00696A22"/>
    <w:rsid w:val="006A08E4"/>
    <w:rsid w:val="006A1735"/>
    <w:rsid w:val="006A28A2"/>
    <w:rsid w:val="006A2F06"/>
    <w:rsid w:val="006A3C7B"/>
    <w:rsid w:val="006A3E47"/>
    <w:rsid w:val="006A5890"/>
    <w:rsid w:val="006B63A6"/>
    <w:rsid w:val="006C3ADE"/>
    <w:rsid w:val="006C570C"/>
    <w:rsid w:val="006C5D46"/>
    <w:rsid w:val="006C5D71"/>
    <w:rsid w:val="006D0351"/>
    <w:rsid w:val="006D2E05"/>
    <w:rsid w:val="006E0466"/>
    <w:rsid w:val="006E0FA1"/>
    <w:rsid w:val="006E4A88"/>
    <w:rsid w:val="006E61FB"/>
    <w:rsid w:val="006E6C08"/>
    <w:rsid w:val="006E7A11"/>
    <w:rsid w:val="006F0ED9"/>
    <w:rsid w:val="006F15B4"/>
    <w:rsid w:val="006F4289"/>
    <w:rsid w:val="006F4EA1"/>
    <w:rsid w:val="006F75B7"/>
    <w:rsid w:val="007034A7"/>
    <w:rsid w:val="0071082D"/>
    <w:rsid w:val="007146D1"/>
    <w:rsid w:val="007160D7"/>
    <w:rsid w:val="007227F0"/>
    <w:rsid w:val="00722BAA"/>
    <w:rsid w:val="007248A5"/>
    <w:rsid w:val="00725826"/>
    <w:rsid w:val="00727F49"/>
    <w:rsid w:val="00733410"/>
    <w:rsid w:val="00734E27"/>
    <w:rsid w:val="00734F2F"/>
    <w:rsid w:val="0073575B"/>
    <w:rsid w:val="00735D63"/>
    <w:rsid w:val="00736BCC"/>
    <w:rsid w:val="007412C6"/>
    <w:rsid w:val="00742F3C"/>
    <w:rsid w:val="007444DD"/>
    <w:rsid w:val="00746B4A"/>
    <w:rsid w:val="00754A07"/>
    <w:rsid w:val="00754D30"/>
    <w:rsid w:val="007574A7"/>
    <w:rsid w:val="00760459"/>
    <w:rsid w:val="00766967"/>
    <w:rsid w:val="0076727C"/>
    <w:rsid w:val="0077047A"/>
    <w:rsid w:val="00772797"/>
    <w:rsid w:val="00772DFC"/>
    <w:rsid w:val="0077377C"/>
    <w:rsid w:val="00774814"/>
    <w:rsid w:val="007759B8"/>
    <w:rsid w:val="007771FA"/>
    <w:rsid w:val="007800D1"/>
    <w:rsid w:val="0078323B"/>
    <w:rsid w:val="0078795B"/>
    <w:rsid w:val="0079064B"/>
    <w:rsid w:val="00790CBA"/>
    <w:rsid w:val="007A07D6"/>
    <w:rsid w:val="007A4139"/>
    <w:rsid w:val="007A4E7B"/>
    <w:rsid w:val="007A681A"/>
    <w:rsid w:val="007A7183"/>
    <w:rsid w:val="007B28F6"/>
    <w:rsid w:val="007B2910"/>
    <w:rsid w:val="007B35A9"/>
    <w:rsid w:val="007B5EB9"/>
    <w:rsid w:val="007C2CAA"/>
    <w:rsid w:val="007C2CF5"/>
    <w:rsid w:val="007C2E6A"/>
    <w:rsid w:val="007C3FFD"/>
    <w:rsid w:val="007D0E72"/>
    <w:rsid w:val="007D1115"/>
    <w:rsid w:val="007D2688"/>
    <w:rsid w:val="007D308D"/>
    <w:rsid w:val="007D5A2B"/>
    <w:rsid w:val="007D6CD8"/>
    <w:rsid w:val="007D7012"/>
    <w:rsid w:val="007E0C41"/>
    <w:rsid w:val="007E2566"/>
    <w:rsid w:val="007E2E3A"/>
    <w:rsid w:val="007F0376"/>
    <w:rsid w:val="00800133"/>
    <w:rsid w:val="00801BA7"/>
    <w:rsid w:val="00804E53"/>
    <w:rsid w:val="00806771"/>
    <w:rsid w:val="00807B35"/>
    <w:rsid w:val="00811048"/>
    <w:rsid w:val="00811695"/>
    <w:rsid w:val="00812046"/>
    <w:rsid w:val="008168BD"/>
    <w:rsid w:val="00824FE2"/>
    <w:rsid w:val="008264E3"/>
    <w:rsid w:val="00834456"/>
    <w:rsid w:val="0083533F"/>
    <w:rsid w:val="00837B6C"/>
    <w:rsid w:val="00837FAF"/>
    <w:rsid w:val="0084580C"/>
    <w:rsid w:val="008461A6"/>
    <w:rsid w:val="008472C8"/>
    <w:rsid w:val="0085010E"/>
    <w:rsid w:val="00857166"/>
    <w:rsid w:val="00862064"/>
    <w:rsid w:val="008624E0"/>
    <w:rsid w:val="008627D2"/>
    <w:rsid w:val="00867376"/>
    <w:rsid w:val="008679F8"/>
    <w:rsid w:val="008721FC"/>
    <w:rsid w:val="00874CC1"/>
    <w:rsid w:val="00876896"/>
    <w:rsid w:val="0088111C"/>
    <w:rsid w:val="00881BFC"/>
    <w:rsid w:val="00881D46"/>
    <w:rsid w:val="0088233A"/>
    <w:rsid w:val="00884BD7"/>
    <w:rsid w:val="00884F97"/>
    <w:rsid w:val="00885811"/>
    <w:rsid w:val="00890106"/>
    <w:rsid w:val="00890A94"/>
    <w:rsid w:val="0089673C"/>
    <w:rsid w:val="008A0FCA"/>
    <w:rsid w:val="008A1458"/>
    <w:rsid w:val="008A29CE"/>
    <w:rsid w:val="008A46FD"/>
    <w:rsid w:val="008A7F72"/>
    <w:rsid w:val="008B1521"/>
    <w:rsid w:val="008B7919"/>
    <w:rsid w:val="008B7EB4"/>
    <w:rsid w:val="008C0AE2"/>
    <w:rsid w:val="008C0F4B"/>
    <w:rsid w:val="008C10E7"/>
    <w:rsid w:val="008C1E86"/>
    <w:rsid w:val="008C279B"/>
    <w:rsid w:val="008C2EE4"/>
    <w:rsid w:val="008C32A6"/>
    <w:rsid w:val="008C5EA0"/>
    <w:rsid w:val="008D02CA"/>
    <w:rsid w:val="008D170E"/>
    <w:rsid w:val="008D1D90"/>
    <w:rsid w:val="008D3664"/>
    <w:rsid w:val="008D3704"/>
    <w:rsid w:val="008E75F6"/>
    <w:rsid w:val="008F1111"/>
    <w:rsid w:val="008F1CC6"/>
    <w:rsid w:val="008F29A1"/>
    <w:rsid w:val="008F4901"/>
    <w:rsid w:val="008F4CE2"/>
    <w:rsid w:val="008F54DF"/>
    <w:rsid w:val="008F6C70"/>
    <w:rsid w:val="00906689"/>
    <w:rsid w:val="00906DFF"/>
    <w:rsid w:val="00911777"/>
    <w:rsid w:val="00912FF7"/>
    <w:rsid w:val="00914926"/>
    <w:rsid w:val="00915DEC"/>
    <w:rsid w:val="00920B1F"/>
    <w:rsid w:val="00920D4D"/>
    <w:rsid w:val="00920DD6"/>
    <w:rsid w:val="009316D9"/>
    <w:rsid w:val="00931710"/>
    <w:rsid w:val="009323AA"/>
    <w:rsid w:val="00936BEA"/>
    <w:rsid w:val="00936E85"/>
    <w:rsid w:val="00936FEE"/>
    <w:rsid w:val="00942CC2"/>
    <w:rsid w:val="00943EA1"/>
    <w:rsid w:val="0094506C"/>
    <w:rsid w:val="009474ED"/>
    <w:rsid w:val="00952B3B"/>
    <w:rsid w:val="00954979"/>
    <w:rsid w:val="00955F56"/>
    <w:rsid w:val="00956887"/>
    <w:rsid w:val="00962FA9"/>
    <w:rsid w:val="00963EB6"/>
    <w:rsid w:val="009752AE"/>
    <w:rsid w:val="00981922"/>
    <w:rsid w:val="00982A3B"/>
    <w:rsid w:val="00985E16"/>
    <w:rsid w:val="009902D2"/>
    <w:rsid w:val="00992CC5"/>
    <w:rsid w:val="009955D9"/>
    <w:rsid w:val="00995A5D"/>
    <w:rsid w:val="00996686"/>
    <w:rsid w:val="00997200"/>
    <w:rsid w:val="009A0B59"/>
    <w:rsid w:val="009A0D03"/>
    <w:rsid w:val="009A2A26"/>
    <w:rsid w:val="009A3FBB"/>
    <w:rsid w:val="009A41CD"/>
    <w:rsid w:val="009A584D"/>
    <w:rsid w:val="009A601F"/>
    <w:rsid w:val="009B4246"/>
    <w:rsid w:val="009B5518"/>
    <w:rsid w:val="009C3E1B"/>
    <w:rsid w:val="009C4D75"/>
    <w:rsid w:val="009C5414"/>
    <w:rsid w:val="009C5BF9"/>
    <w:rsid w:val="009C5E76"/>
    <w:rsid w:val="009C65D6"/>
    <w:rsid w:val="009C69D6"/>
    <w:rsid w:val="009D13B0"/>
    <w:rsid w:val="009D20B3"/>
    <w:rsid w:val="009D2756"/>
    <w:rsid w:val="009D41F0"/>
    <w:rsid w:val="009E6B02"/>
    <w:rsid w:val="009F02F7"/>
    <w:rsid w:val="009F04BB"/>
    <w:rsid w:val="009F240A"/>
    <w:rsid w:val="009F61FB"/>
    <w:rsid w:val="009F714B"/>
    <w:rsid w:val="00A02229"/>
    <w:rsid w:val="00A07C72"/>
    <w:rsid w:val="00A1566E"/>
    <w:rsid w:val="00A219EF"/>
    <w:rsid w:val="00A2228F"/>
    <w:rsid w:val="00A23CA5"/>
    <w:rsid w:val="00A23E3E"/>
    <w:rsid w:val="00A24112"/>
    <w:rsid w:val="00A26C5E"/>
    <w:rsid w:val="00A30AE5"/>
    <w:rsid w:val="00A33497"/>
    <w:rsid w:val="00A33AF2"/>
    <w:rsid w:val="00A3458B"/>
    <w:rsid w:val="00A35BAE"/>
    <w:rsid w:val="00A4017B"/>
    <w:rsid w:val="00A41B0C"/>
    <w:rsid w:val="00A435ED"/>
    <w:rsid w:val="00A43D1B"/>
    <w:rsid w:val="00A50B65"/>
    <w:rsid w:val="00A51F85"/>
    <w:rsid w:val="00A53715"/>
    <w:rsid w:val="00A54600"/>
    <w:rsid w:val="00A554D6"/>
    <w:rsid w:val="00A601D7"/>
    <w:rsid w:val="00A62992"/>
    <w:rsid w:val="00A62C9E"/>
    <w:rsid w:val="00A65875"/>
    <w:rsid w:val="00A65AB6"/>
    <w:rsid w:val="00A6615B"/>
    <w:rsid w:val="00A67E57"/>
    <w:rsid w:val="00A71094"/>
    <w:rsid w:val="00A7229E"/>
    <w:rsid w:val="00A7264D"/>
    <w:rsid w:val="00A75AC7"/>
    <w:rsid w:val="00A76170"/>
    <w:rsid w:val="00A82BD8"/>
    <w:rsid w:val="00A9467D"/>
    <w:rsid w:val="00AA2063"/>
    <w:rsid w:val="00AA3B58"/>
    <w:rsid w:val="00AA409A"/>
    <w:rsid w:val="00AA487F"/>
    <w:rsid w:val="00AB15EF"/>
    <w:rsid w:val="00AB23AE"/>
    <w:rsid w:val="00AB2933"/>
    <w:rsid w:val="00AB73AB"/>
    <w:rsid w:val="00AB7F63"/>
    <w:rsid w:val="00AC292A"/>
    <w:rsid w:val="00AC4A67"/>
    <w:rsid w:val="00AD14ED"/>
    <w:rsid w:val="00AD5058"/>
    <w:rsid w:val="00AE40A0"/>
    <w:rsid w:val="00AE52C2"/>
    <w:rsid w:val="00AF0A7B"/>
    <w:rsid w:val="00AF3031"/>
    <w:rsid w:val="00AF5F4D"/>
    <w:rsid w:val="00AF5FBE"/>
    <w:rsid w:val="00B0039D"/>
    <w:rsid w:val="00B0217E"/>
    <w:rsid w:val="00B02E94"/>
    <w:rsid w:val="00B05457"/>
    <w:rsid w:val="00B112FE"/>
    <w:rsid w:val="00B13F89"/>
    <w:rsid w:val="00B150B9"/>
    <w:rsid w:val="00B2200B"/>
    <w:rsid w:val="00B2507C"/>
    <w:rsid w:val="00B252D3"/>
    <w:rsid w:val="00B25A16"/>
    <w:rsid w:val="00B30C1B"/>
    <w:rsid w:val="00B31B1A"/>
    <w:rsid w:val="00B32EDE"/>
    <w:rsid w:val="00B339EC"/>
    <w:rsid w:val="00B34AF5"/>
    <w:rsid w:val="00B36970"/>
    <w:rsid w:val="00B37AD4"/>
    <w:rsid w:val="00B42E76"/>
    <w:rsid w:val="00B4350F"/>
    <w:rsid w:val="00B43A57"/>
    <w:rsid w:val="00B47745"/>
    <w:rsid w:val="00B51889"/>
    <w:rsid w:val="00B56DD2"/>
    <w:rsid w:val="00B57C92"/>
    <w:rsid w:val="00B612FC"/>
    <w:rsid w:val="00B64279"/>
    <w:rsid w:val="00B66662"/>
    <w:rsid w:val="00B674FB"/>
    <w:rsid w:val="00B7317C"/>
    <w:rsid w:val="00B74CBC"/>
    <w:rsid w:val="00B8509A"/>
    <w:rsid w:val="00B91710"/>
    <w:rsid w:val="00B91885"/>
    <w:rsid w:val="00B95A34"/>
    <w:rsid w:val="00B96A0E"/>
    <w:rsid w:val="00BA1124"/>
    <w:rsid w:val="00BA25DB"/>
    <w:rsid w:val="00BA2801"/>
    <w:rsid w:val="00BA2B86"/>
    <w:rsid w:val="00BA49D7"/>
    <w:rsid w:val="00BA4C9D"/>
    <w:rsid w:val="00BA5D02"/>
    <w:rsid w:val="00BB18C4"/>
    <w:rsid w:val="00BB3E62"/>
    <w:rsid w:val="00BB4BE1"/>
    <w:rsid w:val="00BC1FCF"/>
    <w:rsid w:val="00BC529F"/>
    <w:rsid w:val="00BC7C48"/>
    <w:rsid w:val="00BD2FA7"/>
    <w:rsid w:val="00BD313E"/>
    <w:rsid w:val="00BD5C90"/>
    <w:rsid w:val="00BF21D7"/>
    <w:rsid w:val="00BF69AB"/>
    <w:rsid w:val="00C00818"/>
    <w:rsid w:val="00C00C5F"/>
    <w:rsid w:val="00C00D48"/>
    <w:rsid w:val="00C02F2C"/>
    <w:rsid w:val="00C04294"/>
    <w:rsid w:val="00C1095C"/>
    <w:rsid w:val="00C1439A"/>
    <w:rsid w:val="00C1731E"/>
    <w:rsid w:val="00C212A4"/>
    <w:rsid w:val="00C22CE0"/>
    <w:rsid w:val="00C23499"/>
    <w:rsid w:val="00C262C3"/>
    <w:rsid w:val="00C270B7"/>
    <w:rsid w:val="00C27501"/>
    <w:rsid w:val="00C27FD6"/>
    <w:rsid w:val="00C30962"/>
    <w:rsid w:val="00C3150C"/>
    <w:rsid w:val="00C32AA1"/>
    <w:rsid w:val="00C33500"/>
    <w:rsid w:val="00C3517E"/>
    <w:rsid w:val="00C36203"/>
    <w:rsid w:val="00C36484"/>
    <w:rsid w:val="00C37F5B"/>
    <w:rsid w:val="00C40FF6"/>
    <w:rsid w:val="00C415EB"/>
    <w:rsid w:val="00C41DE0"/>
    <w:rsid w:val="00C44A7F"/>
    <w:rsid w:val="00C477F5"/>
    <w:rsid w:val="00C515B6"/>
    <w:rsid w:val="00C517A8"/>
    <w:rsid w:val="00C533A0"/>
    <w:rsid w:val="00C5380A"/>
    <w:rsid w:val="00C53D2B"/>
    <w:rsid w:val="00C54570"/>
    <w:rsid w:val="00C6008F"/>
    <w:rsid w:val="00C60892"/>
    <w:rsid w:val="00C615BC"/>
    <w:rsid w:val="00C61F7B"/>
    <w:rsid w:val="00C643FE"/>
    <w:rsid w:val="00C64408"/>
    <w:rsid w:val="00C64743"/>
    <w:rsid w:val="00C66C1C"/>
    <w:rsid w:val="00C748F3"/>
    <w:rsid w:val="00C80FFE"/>
    <w:rsid w:val="00C819E9"/>
    <w:rsid w:val="00C82E13"/>
    <w:rsid w:val="00C85833"/>
    <w:rsid w:val="00C85BB2"/>
    <w:rsid w:val="00C867FC"/>
    <w:rsid w:val="00C86C1B"/>
    <w:rsid w:val="00C90424"/>
    <w:rsid w:val="00C90C9A"/>
    <w:rsid w:val="00C948D9"/>
    <w:rsid w:val="00CA0201"/>
    <w:rsid w:val="00CA0D5C"/>
    <w:rsid w:val="00CA3577"/>
    <w:rsid w:val="00CB0ABE"/>
    <w:rsid w:val="00CB43C3"/>
    <w:rsid w:val="00CC6BC2"/>
    <w:rsid w:val="00CD1C03"/>
    <w:rsid w:val="00CD1D0C"/>
    <w:rsid w:val="00CD26A5"/>
    <w:rsid w:val="00CD2D0D"/>
    <w:rsid w:val="00CD51E1"/>
    <w:rsid w:val="00CF2771"/>
    <w:rsid w:val="00D002AD"/>
    <w:rsid w:val="00D01F9D"/>
    <w:rsid w:val="00D03E2A"/>
    <w:rsid w:val="00D05D47"/>
    <w:rsid w:val="00D06721"/>
    <w:rsid w:val="00D06BD7"/>
    <w:rsid w:val="00D16CF9"/>
    <w:rsid w:val="00D22DE3"/>
    <w:rsid w:val="00D3286F"/>
    <w:rsid w:val="00D354EF"/>
    <w:rsid w:val="00D35D1B"/>
    <w:rsid w:val="00D36A51"/>
    <w:rsid w:val="00D37924"/>
    <w:rsid w:val="00D44C1A"/>
    <w:rsid w:val="00D537FD"/>
    <w:rsid w:val="00D564AF"/>
    <w:rsid w:val="00D56E32"/>
    <w:rsid w:val="00D5799D"/>
    <w:rsid w:val="00D61AE4"/>
    <w:rsid w:val="00D649EB"/>
    <w:rsid w:val="00D66E41"/>
    <w:rsid w:val="00D678BB"/>
    <w:rsid w:val="00D747E8"/>
    <w:rsid w:val="00D77AEB"/>
    <w:rsid w:val="00D80524"/>
    <w:rsid w:val="00D82B05"/>
    <w:rsid w:val="00D8311C"/>
    <w:rsid w:val="00D85E87"/>
    <w:rsid w:val="00D875BC"/>
    <w:rsid w:val="00D8770A"/>
    <w:rsid w:val="00D87733"/>
    <w:rsid w:val="00D90267"/>
    <w:rsid w:val="00D9074A"/>
    <w:rsid w:val="00D91518"/>
    <w:rsid w:val="00D932DC"/>
    <w:rsid w:val="00D95A59"/>
    <w:rsid w:val="00D96549"/>
    <w:rsid w:val="00DA00D5"/>
    <w:rsid w:val="00DA3587"/>
    <w:rsid w:val="00DA424B"/>
    <w:rsid w:val="00DB0585"/>
    <w:rsid w:val="00DB217C"/>
    <w:rsid w:val="00DB2611"/>
    <w:rsid w:val="00DC05E9"/>
    <w:rsid w:val="00DD393B"/>
    <w:rsid w:val="00DD4D27"/>
    <w:rsid w:val="00DE31DD"/>
    <w:rsid w:val="00DE6B7C"/>
    <w:rsid w:val="00DE794E"/>
    <w:rsid w:val="00DF4399"/>
    <w:rsid w:val="00DF4695"/>
    <w:rsid w:val="00DF5CBE"/>
    <w:rsid w:val="00DF6BBB"/>
    <w:rsid w:val="00DF79A6"/>
    <w:rsid w:val="00E005FE"/>
    <w:rsid w:val="00E02563"/>
    <w:rsid w:val="00E034A2"/>
    <w:rsid w:val="00E04A9B"/>
    <w:rsid w:val="00E074D2"/>
    <w:rsid w:val="00E12F07"/>
    <w:rsid w:val="00E14049"/>
    <w:rsid w:val="00E1590C"/>
    <w:rsid w:val="00E21A63"/>
    <w:rsid w:val="00E22F4F"/>
    <w:rsid w:val="00E22FCA"/>
    <w:rsid w:val="00E25E1D"/>
    <w:rsid w:val="00E26D23"/>
    <w:rsid w:val="00E33C17"/>
    <w:rsid w:val="00E36186"/>
    <w:rsid w:val="00E41553"/>
    <w:rsid w:val="00E419AE"/>
    <w:rsid w:val="00E41CEC"/>
    <w:rsid w:val="00E46C6C"/>
    <w:rsid w:val="00E46C9D"/>
    <w:rsid w:val="00E52B2F"/>
    <w:rsid w:val="00E52BC5"/>
    <w:rsid w:val="00E5352A"/>
    <w:rsid w:val="00E55F61"/>
    <w:rsid w:val="00E62290"/>
    <w:rsid w:val="00E62D85"/>
    <w:rsid w:val="00E63033"/>
    <w:rsid w:val="00E6334B"/>
    <w:rsid w:val="00E6728F"/>
    <w:rsid w:val="00E675A4"/>
    <w:rsid w:val="00E67A38"/>
    <w:rsid w:val="00E67B06"/>
    <w:rsid w:val="00E70C10"/>
    <w:rsid w:val="00E770A6"/>
    <w:rsid w:val="00E80E69"/>
    <w:rsid w:val="00E814CF"/>
    <w:rsid w:val="00E82307"/>
    <w:rsid w:val="00E86773"/>
    <w:rsid w:val="00E86E80"/>
    <w:rsid w:val="00E90781"/>
    <w:rsid w:val="00E9218C"/>
    <w:rsid w:val="00E92C3E"/>
    <w:rsid w:val="00E931C6"/>
    <w:rsid w:val="00E93BFA"/>
    <w:rsid w:val="00E94234"/>
    <w:rsid w:val="00E947BC"/>
    <w:rsid w:val="00EA698B"/>
    <w:rsid w:val="00EB79BA"/>
    <w:rsid w:val="00EC1FCB"/>
    <w:rsid w:val="00EC29D9"/>
    <w:rsid w:val="00EC36EB"/>
    <w:rsid w:val="00EC5699"/>
    <w:rsid w:val="00ED2756"/>
    <w:rsid w:val="00ED5F42"/>
    <w:rsid w:val="00ED73E1"/>
    <w:rsid w:val="00ED7BEE"/>
    <w:rsid w:val="00EE0280"/>
    <w:rsid w:val="00EE0F97"/>
    <w:rsid w:val="00EE27B6"/>
    <w:rsid w:val="00EE4CF1"/>
    <w:rsid w:val="00EE5F8A"/>
    <w:rsid w:val="00EF2348"/>
    <w:rsid w:val="00EF352D"/>
    <w:rsid w:val="00EF612F"/>
    <w:rsid w:val="00F0093A"/>
    <w:rsid w:val="00F01143"/>
    <w:rsid w:val="00F03695"/>
    <w:rsid w:val="00F05C03"/>
    <w:rsid w:val="00F06210"/>
    <w:rsid w:val="00F06D42"/>
    <w:rsid w:val="00F06DC2"/>
    <w:rsid w:val="00F07FB6"/>
    <w:rsid w:val="00F10A3F"/>
    <w:rsid w:val="00F11AAF"/>
    <w:rsid w:val="00F13B3F"/>
    <w:rsid w:val="00F13DAA"/>
    <w:rsid w:val="00F14BFB"/>
    <w:rsid w:val="00F15742"/>
    <w:rsid w:val="00F16F72"/>
    <w:rsid w:val="00F2192C"/>
    <w:rsid w:val="00F224B9"/>
    <w:rsid w:val="00F32BF9"/>
    <w:rsid w:val="00F33A01"/>
    <w:rsid w:val="00F3597E"/>
    <w:rsid w:val="00F36924"/>
    <w:rsid w:val="00F400C2"/>
    <w:rsid w:val="00F425D5"/>
    <w:rsid w:val="00F45D19"/>
    <w:rsid w:val="00F45F27"/>
    <w:rsid w:val="00F46F33"/>
    <w:rsid w:val="00F50AF7"/>
    <w:rsid w:val="00F5130D"/>
    <w:rsid w:val="00F523D0"/>
    <w:rsid w:val="00F532E9"/>
    <w:rsid w:val="00F55736"/>
    <w:rsid w:val="00F55EBA"/>
    <w:rsid w:val="00F5664B"/>
    <w:rsid w:val="00F57E16"/>
    <w:rsid w:val="00F60A6D"/>
    <w:rsid w:val="00F63D02"/>
    <w:rsid w:val="00F7191D"/>
    <w:rsid w:val="00F7721D"/>
    <w:rsid w:val="00F82F99"/>
    <w:rsid w:val="00F83ECD"/>
    <w:rsid w:val="00F84EFA"/>
    <w:rsid w:val="00F853C5"/>
    <w:rsid w:val="00F91DAC"/>
    <w:rsid w:val="00F9706A"/>
    <w:rsid w:val="00FA0C34"/>
    <w:rsid w:val="00FA45CD"/>
    <w:rsid w:val="00FA465C"/>
    <w:rsid w:val="00FA63CF"/>
    <w:rsid w:val="00FB139F"/>
    <w:rsid w:val="00FC095C"/>
    <w:rsid w:val="00FC1CB9"/>
    <w:rsid w:val="00FC50C7"/>
    <w:rsid w:val="00FD0639"/>
    <w:rsid w:val="00FD0FA1"/>
    <w:rsid w:val="00FD17AE"/>
    <w:rsid w:val="00FD34F2"/>
    <w:rsid w:val="00FD4E13"/>
    <w:rsid w:val="00FD5FEE"/>
    <w:rsid w:val="00FD6E73"/>
    <w:rsid w:val="00FE1B35"/>
    <w:rsid w:val="00FE75BF"/>
    <w:rsid w:val="00FF2F82"/>
    <w:rsid w:val="03E6384B"/>
    <w:rsid w:val="12B237C5"/>
    <w:rsid w:val="1A651ABA"/>
    <w:rsid w:val="2E125ECF"/>
    <w:rsid w:val="2FD111A0"/>
    <w:rsid w:val="2FEA77A9"/>
    <w:rsid w:val="38665585"/>
    <w:rsid w:val="3A78303C"/>
    <w:rsid w:val="3C8F1BC7"/>
    <w:rsid w:val="4141137C"/>
    <w:rsid w:val="49962C73"/>
    <w:rsid w:val="4C7628D0"/>
    <w:rsid w:val="501D67A1"/>
    <w:rsid w:val="547A7C3A"/>
    <w:rsid w:val="58CF7B3F"/>
    <w:rsid w:val="5C7066F2"/>
    <w:rsid w:val="66784C80"/>
    <w:rsid w:val="66926754"/>
    <w:rsid w:val="6A85518E"/>
    <w:rsid w:val="6AC6430B"/>
    <w:rsid w:val="6D7D0EFF"/>
    <w:rsid w:val="7783490B"/>
    <w:rsid w:val="7A5D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110BB"/>
  <w15:chartTrackingRefBased/>
  <w15:docId w15:val="{FAF0ADDB-8D26-4315-BE00-87C5A642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881D46"/>
    <w:pPr>
      <w:autoSpaceDE w:val="0"/>
      <w:autoSpaceDN w:val="0"/>
      <w:spacing w:line="364" w:lineRule="exact"/>
      <w:ind w:left="702"/>
      <w:jc w:val="left"/>
      <w:outlineLvl w:val="0"/>
    </w:pPr>
    <w:rPr>
      <w:rFonts w:ascii="Microsoft JhengHei" w:eastAsia="Microsoft JhengHei" w:hAnsi="Microsoft JhengHei" w:cs="Microsoft JhengHei"/>
      <w:b/>
      <w:bCs/>
      <w:kern w:val="0"/>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basedOn w:val="a0"/>
  </w:style>
  <w:style w:type="character" w:styleId="a5">
    <w:name w:val="Hyperlink"/>
    <w:rPr>
      <w:color w:val="0000FF"/>
      <w:u w:val="single"/>
    </w:rPr>
  </w:style>
  <w:style w:type="character" w:customStyle="1" w:styleId="a6">
    <w:name w:val="批注文字 字符"/>
    <w:link w:val="a7"/>
    <w:rPr>
      <w:kern w:val="2"/>
      <w:sz w:val="21"/>
      <w:szCs w:val="24"/>
    </w:rPr>
  </w:style>
  <w:style w:type="character" w:customStyle="1" w:styleId="a8">
    <w:name w:val="批注主题 字符"/>
    <w:link w:val="a9"/>
    <w:rPr>
      <w:b/>
      <w:bCs/>
      <w:kern w:val="2"/>
      <w:sz w:val="21"/>
      <w:szCs w:val="24"/>
    </w:rPr>
  </w:style>
  <w:style w:type="character" w:customStyle="1" w:styleId="aa">
    <w:name w:val="页眉 字符"/>
    <w:link w:val="ab"/>
    <w:rPr>
      <w:kern w:val="2"/>
      <w:sz w:val="18"/>
      <w:szCs w:val="18"/>
    </w:rPr>
  </w:style>
  <w:style w:type="paragraph" w:styleId="ac">
    <w:name w:val="Date"/>
    <w:basedOn w:val="a"/>
    <w:next w:val="a"/>
    <w:pPr>
      <w:ind w:leftChars="2500" w:left="100"/>
    </w:pPr>
  </w:style>
  <w:style w:type="paragraph" w:styleId="a9">
    <w:name w:val="annotation subject"/>
    <w:basedOn w:val="a7"/>
    <w:next w:val="a7"/>
    <w:link w:val="a8"/>
    <w:rPr>
      <w:b/>
      <w:bCs/>
    </w:rPr>
  </w:style>
  <w:style w:type="paragraph" w:styleId="a7">
    <w:name w:val="annotation text"/>
    <w:basedOn w:val="a"/>
    <w:link w:val="a6"/>
    <w:pPr>
      <w:jc w:val="left"/>
    </w:pPr>
  </w:style>
  <w:style w:type="paragraph" w:styleId="ab">
    <w:name w:val="header"/>
    <w:basedOn w:val="a"/>
    <w:link w:val="aa"/>
    <w:pPr>
      <w:pBdr>
        <w:bottom w:val="single" w:sz="6" w:space="1" w:color="auto"/>
      </w:pBdr>
      <w:tabs>
        <w:tab w:val="center" w:pos="4153"/>
        <w:tab w:val="right" w:pos="8306"/>
      </w:tabs>
      <w:snapToGrid w:val="0"/>
      <w:jc w:val="center"/>
    </w:pPr>
    <w:rPr>
      <w:sz w:val="18"/>
      <w:szCs w:val="18"/>
    </w:rPr>
  </w:style>
  <w:style w:type="paragraph" w:styleId="ad">
    <w:name w:val="footer"/>
    <w:basedOn w:val="a"/>
    <w:pPr>
      <w:tabs>
        <w:tab w:val="center" w:pos="4153"/>
        <w:tab w:val="right" w:pos="8306"/>
      </w:tabs>
      <w:snapToGrid w:val="0"/>
      <w:jc w:val="left"/>
    </w:pPr>
    <w:rPr>
      <w:sz w:val="18"/>
      <w:szCs w:val="18"/>
    </w:rPr>
  </w:style>
  <w:style w:type="paragraph" w:styleId="ae">
    <w:name w:val="Document Map"/>
    <w:basedOn w:val="a"/>
    <w:semiHidden/>
    <w:pPr>
      <w:shd w:val="clear" w:color="auto" w:fill="000080"/>
    </w:pPr>
  </w:style>
  <w:style w:type="paragraph" w:styleId="af">
    <w:name w:val="Balloon Text"/>
    <w:basedOn w:val="a"/>
    <w:semiHidden/>
    <w:rPr>
      <w:sz w:val="18"/>
      <w:szCs w:val="18"/>
    </w:rPr>
  </w:style>
  <w:style w:type="paragraph" w:customStyle="1" w:styleId="Char">
    <w:name w:val="Char"/>
    <w:basedOn w:val="a"/>
    <w:pPr>
      <w:tabs>
        <w:tab w:val="left" w:pos="360"/>
      </w:tabs>
    </w:pPr>
    <w:rPr>
      <w:sz w:val="24"/>
    </w:rPr>
  </w:style>
  <w:style w:type="paragraph" w:customStyle="1" w:styleId="CharCharChar1CharCharCharChar">
    <w:name w:val="Char Char Char1 Char Char Char Char"/>
    <w:basedOn w:val="a"/>
    <w:rPr>
      <w:rFonts w:ascii="Tahoma" w:hAnsi="Tahoma"/>
      <w:sz w:val="24"/>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f0">
    <w:name w:val="Revision"/>
    <w:uiPriority w:val="99"/>
    <w:semiHidden/>
    <w:rPr>
      <w:kern w:val="2"/>
      <w:sz w:val="21"/>
      <w:szCs w:val="24"/>
    </w:rPr>
  </w:style>
  <w:style w:type="character" w:customStyle="1" w:styleId="10">
    <w:name w:val="标题 1 字符"/>
    <w:link w:val="1"/>
    <w:uiPriority w:val="9"/>
    <w:rsid w:val="00881D46"/>
    <w:rPr>
      <w:rFonts w:ascii="Microsoft JhengHei" w:eastAsia="Microsoft JhengHei" w:hAnsi="Microsoft JhengHei" w:cs="Microsoft JhengHei"/>
      <w:b/>
      <w:bCs/>
      <w:sz w:val="24"/>
      <w:szCs w:val="24"/>
      <w:lang w:val="zh-CN" w:bidi="zh-CN"/>
    </w:rPr>
  </w:style>
  <w:style w:type="table" w:customStyle="1" w:styleId="TableNormal">
    <w:name w:val="Table Normal"/>
    <w:uiPriority w:val="2"/>
    <w:semiHidden/>
    <w:unhideWhenUsed/>
    <w:qFormat/>
    <w:rsid w:val="00881D4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1D46"/>
    <w:pPr>
      <w:autoSpaceDE w:val="0"/>
      <w:autoSpaceDN w:val="0"/>
      <w:ind w:left="220"/>
      <w:jc w:val="left"/>
    </w:pPr>
    <w:rPr>
      <w:rFonts w:ascii="宋体" w:hAnsi="宋体" w:cs="宋体"/>
      <w:kern w:val="0"/>
      <w:sz w:val="24"/>
      <w:lang w:val="zh-CN" w:bidi="zh-CN"/>
    </w:rPr>
  </w:style>
  <w:style w:type="character" w:customStyle="1" w:styleId="af2">
    <w:name w:val="正文文本 字符"/>
    <w:link w:val="af1"/>
    <w:uiPriority w:val="1"/>
    <w:rsid w:val="00881D46"/>
    <w:rPr>
      <w:rFonts w:ascii="宋体" w:hAnsi="宋体" w:cs="宋体"/>
      <w:sz w:val="24"/>
      <w:szCs w:val="24"/>
      <w:lang w:val="zh-CN" w:bidi="zh-CN"/>
    </w:rPr>
  </w:style>
  <w:style w:type="paragraph" w:styleId="af3">
    <w:name w:val="List Paragraph"/>
    <w:basedOn w:val="a"/>
    <w:uiPriority w:val="1"/>
    <w:qFormat/>
    <w:rsid w:val="00881D46"/>
    <w:pPr>
      <w:autoSpaceDE w:val="0"/>
      <w:autoSpaceDN w:val="0"/>
      <w:spacing w:before="1"/>
      <w:ind w:left="220" w:firstLine="479"/>
      <w:jc w:val="left"/>
    </w:pPr>
    <w:rPr>
      <w:rFonts w:ascii="宋体" w:hAnsi="宋体" w:cs="宋体"/>
      <w:kern w:val="0"/>
      <w:sz w:val="22"/>
      <w:szCs w:val="22"/>
      <w:lang w:val="zh-CN" w:bidi="zh-CN"/>
    </w:rPr>
  </w:style>
  <w:style w:type="paragraph" w:customStyle="1" w:styleId="TableParagraph">
    <w:name w:val="Table Paragraph"/>
    <w:basedOn w:val="a"/>
    <w:uiPriority w:val="1"/>
    <w:qFormat/>
    <w:rsid w:val="00881D46"/>
    <w:pPr>
      <w:autoSpaceDE w:val="0"/>
      <w:autoSpaceDN w:val="0"/>
      <w:jc w:val="center"/>
    </w:pPr>
    <w:rPr>
      <w:rFonts w:ascii="宋体" w:hAnsi="宋体" w:cs="宋体"/>
      <w:kern w:val="0"/>
      <w:sz w:val="22"/>
      <w:szCs w:val="22"/>
      <w:lang w:val="zh-CN" w:bidi="zh-CN"/>
    </w:rPr>
  </w:style>
  <w:style w:type="character" w:customStyle="1" w:styleId="11">
    <w:name w:val="未处理的提及1"/>
    <w:uiPriority w:val="99"/>
    <w:semiHidden/>
    <w:unhideWhenUsed/>
    <w:rsid w:val="00E46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80.96.8.44/EquitySalesF9Web/F9/Shareholder/!CommandParam(8514,CompanyCode=13272305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李骏</cp:lastModifiedBy>
  <cp:revision>7</cp:revision>
  <cp:lastPrinted>2013-03-18T03:19:00Z</cp:lastPrinted>
  <dcterms:created xsi:type="dcterms:W3CDTF">2024-09-25T07:46:00Z</dcterms:created>
  <dcterms:modified xsi:type="dcterms:W3CDTF">2024-10-15T08:46:00Z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2052-11.8.2.8808</vt:lpwstr>
  </property>
</Properties>
</file>