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E12F7" w14:textId="372F68F9" w:rsidR="00DC329F" w:rsidRPr="00C848AA" w:rsidRDefault="007A1B6B">
      <w:pPr>
        <w:adjustRightInd w:val="0"/>
        <w:snapToGrid w:val="0"/>
        <w:spacing w:line="360" w:lineRule="auto"/>
        <w:rPr>
          <w:rFonts w:ascii="黑体" w:eastAsia="黑体" w:hAnsi="Calibri" w:cs="Times New Roman"/>
          <w:color w:val="000000" w:themeColor="text1"/>
          <w:sz w:val="28"/>
        </w:rPr>
      </w:pPr>
      <w:r>
        <w:rPr>
          <w:rFonts w:ascii="黑体" w:eastAsia="黑体" w:hAnsi="Calibri" w:cs="Times New Roman" w:hint="eastAsia"/>
          <w:sz w:val="28"/>
        </w:rPr>
        <w:t xml:space="preserve">证券代码：600237    证券简称：铜峰电子    </w:t>
      </w:r>
      <w:r w:rsidRPr="00C848AA">
        <w:rPr>
          <w:rFonts w:ascii="黑体" w:eastAsia="黑体" w:hAnsi="Calibri" w:cs="Times New Roman" w:hint="eastAsia"/>
          <w:color w:val="000000" w:themeColor="text1"/>
          <w:sz w:val="28"/>
        </w:rPr>
        <w:t>公告编号：临202</w:t>
      </w:r>
      <w:r w:rsidRPr="00C848AA">
        <w:rPr>
          <w:rFonts w:ascii="黑体" w:eastAsia="黑体" w:hAnsi="Calibri" w:cs="Times New Roman"/>
          <w:color w:val="000000" w:themeColor="text1"/>
          <w:sz w:val="28"/>
        </w:rPr>
        <w:t>4</w:t>
      </w:r>
      <w:r w:rsidRPr="00C848AA">
        <w:rPr>
          <w:rFonts w:ascii="黑体" w:eastAsia="黑体" w:hAnsi="Calibri" w:cs="Times New Roman" w:hint="eastAsia"/>
          <w:color w:val="000000" w:themeColor="text1"/>
          <w:sz w:val="28"/>
        </w:rPr>
        <w:t>-0</w:t>
      </w:r>
      <w:r w:rsidR="00C848AA" w:rsidRPr="00C848AA">
        <w:rPr>
          <w:rFonts w:ascii="黑体" w:eastAsia="黑体" w:hAnsi="Calibri" w:cs="Times New Roman"/>
          <w:color w:val="000000" w:themeColor="text1"/>
          <w:sz w:val="28"/>
        </w:rPr>
        <w:t>31</w:t>
      </w:r>
    </w:p>
    <w:p w14:paraId="0E45FBAA" w14:textId="77777777" w:rsidR="00DC329F" w:rsidRDefault="00DC329F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Calibri" w:cs="Times New Roman"/>
          <w:sz w:val="28"/>
        </w:rPr>
      </w:pPr>
    </w:p>
    <w:p w14:paraId="57BBDB4D" w14:textId="77777777" w:rsidR="00DC329F" w:rsidRDefault="007A1B6B">
      <w:pPr>
        <w:widowControl/>
        <w:snapToGrid w:val="0"/>
        <w:spacing w:line="360" w:lineRule="auto"/>
        <w:ind w:firstLineChars="200" w:firstLine="720"/>
        <w:jc w:val="center"/>
        <w:outlineLvl w:val="1"/>
        <w:rPr>
          <w:rFonts w:eastAsia="黑体"/>
          <w:color w:val="FF0000"/>
          <w:sz w:val="36"/>
        </w:rPr>
      </w:pPr>
      <w:r>
        <w:rPr>
          <w:rFonts w:ascii="Calibri" w:eastAsia="黑体" w:hAnsi="Calibri" w:cs="Times New Roman" w:hint="eastAsia"/>
          <w:color w:val="FF0000"/>
          <w:sz w:val="36"/>
        </w:rPr>
        <w:t>安徽铜峰电子</w:t>
      </w:r>
      <w:r>
        <w:rPr>
          <w:rFonts w:ascii="Calibri" w:eastAsia="黑体" w:hAnsi="Calibri" w:cs="Times New Roman"/>
          <w:color w:val="FF0000"/>
          <w:sz w:val="36"/>
        </w:rPr>
        <w:t>股份有限公司</w:t>
      </w:r>
    </w:p>
    <w:p w14:paraId="099426D2" w14:textId="77777777" w:rsidR="00DC329F" w:rsidRDefault="007A1B6B">
      <w:pPr>
        <w:widowControl/>
        <w:snapToGrid w:val="0"/>
        <w:spacing w:line="360" w:lineRule="auto"/>
        <w:ind w:firstLineChars="200" w:firstLine="720"/>
        <w:jc w:val="center"/>
        <w:outlineLvl w:val="1"/>
        <w:rPr>
          <w:rFonts w:ascii="Calibri" w:eastAsia="黑体" w:hAnsi="Calibri" w:cs="Times New Roman"/>
          <w:color w:val="FF0000"/>
          <w:sz w:val="36"/>
        </w:rPr>
      </w:pPr>
      <w:r>
        <w:rPr>
          <w:rFonts w:eastAsia="黑体" w:hint="eastAsia"/>
          <w:color w:val="FF0000"/>
          <w:sz w:val="36"/>
        </w:rPr>
        <w:t>关于使用自有闲置资金购买理财产品的</w:t>
      </w:r>
      <w:r>
        <w:rPr>
          <w:rFonts w:ascii="Calibri" w:eastAsia="黑体" w:hAnsi="Calibri" w:cs="Times New Roman" w:hint="eastAsia"/>
          <w:color w:val="FF0000"/>
          <w:sz w:val="36"/>
        </w:rPr>
        <w:t>公告</w:t>
      </w:r>
    </w:p>
    <w:p w14:paraId="774D95BC" w14:textId="77777777" w:rsidR="00DC329F" w:rsidRDefault="00DC329F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562"/>
        <w:jc w:val="center"/>
        <w:rPr>
          <w:rFonts w:ascii="仿宋_GB2312" w:eastAsia="仿宋_GB2312"/>
          <w:b/>
          <w:bCs/>
          <w:sz w:val="28"/>
        </w:rPr>
      </w:pPr>
    </w:p>
    <w:p w14:paraId="73CC003B" w14:textId="77777777" w:rsidR="00DC329F" w:rsidRDefault="007A1B6B">
      <w:pPr>
        <w:snapToGrid w:val="0"/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232F7779" w14:textId="77777777" w:rsidR="00DC329F" w:rsidRDefault="00DC329F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</w:p>
    <w:p w14:paraId="3FB88511" w14:textId="77777777" w:rsidR="00DC329F" w:rsidRDefault="007A1B6B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重要内容提示：</w:t>
      </w:r>
    </w:p>
    <w:p w14:paraId="03E69C8E" w14:textId="77777777" w:rsidR="00DC329F" w:rsidRDefault="007A1B6B">
      <w:pPr>
        <w:numPr>
          <w:ilvl w:val="0"/>
          <w:numId w:val="1"/>
        </w:numPr>
        <w:adjustRightInd w:val="0"/>
        <w:snapToGrid w:val="0"/>
        <w:spacing w:line="360" w:lineRule="auto"/>
        <w:ind w:left="102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投资种类：</w:t>
      </w:r>
      <w:r>
        <w:rPr>
          <w:rFonts w:ascii="宋体" w:eastAsia="宋体" w:hAnsi="宋体"/>
          <w:sz w:val="24"/>
          <w:szCs w:val="24"/>
        </w:rPr>
        <w:t>结构性存款、收益凭证、基金、债券等中低风险产品</w:t>
      </w:r>
    </w:p>
    <w:p w14:paraId="7E3D6D69" w14:textId="77777777" w:rsidR="00DC329F" w:rsidRPr="007A1B6B" w:rsidRDefault="007A1B6B">
      <w:pPr>
        <w:numPr>
          <w:ilvl w:val="0"/>
          <w:numId w:val="1"/>
        </w:numPr>
        <w:adjustRightInd w:val="0"/>
        <w:snapToGrid w:val="0"/>
        <w:spacing w:line="360" w:lineRule="auto"/>
        <w:ind w:left="1020"/>
        <w:rPr>
          <w:rFonts w:ascii="宋体" w:eastAsia="宋体" w:hAnsi="宋体"/>
          <w:bCs/>
          <w:sz w:val="24"/>
          <w:szCs w:val="24"/>
        </w:rPr>
      </w:pPr>
      <w:r w:rsidRPr="007A1B6B">
        <w:rPr>
          <w:rFonts w:ascii="宋体" w:eastAsia="宋体" w:hAnsi="宋体" w:hint="eastAsia"/>
          <w:b/>
          <w:bCs/>
          <w:sz w:val="24"/>
          <w:szCs w:val="24"/>
        </w:rPr>
        <w:t>投资金额</w:t>
      </w:r>
      <w:r w:rsidRPr="007A1B6B">
        <w:rPr>
          <w:rFonts w:ascii="宋体" w:eastAsia="宋体" w:hAnsi="宋体" w:hint="eastAsia"/>
          <w:bCs/>
          <w:sz w:val="24"/>
          <w:szCs w:val="24"/>
        </w:rPr>
        <w:t>：不超过人民币24</w:t>
      </w:r>
      <w:r w:rsidRPr="007A1B6B">
        <w:rPr>
          <w:rFonts w:ascii="宋体" w:eastAsia="宋体" w:hAnsi="宋体"/>
          <w:bCs/>
          <w:sz w:val="24"/>
          <w:szCs w:val="24"/>
        </w:rPr>
        <w:t>,</w:t>
      </w:r>
      <w:r w:rsidRPr="007A1B6B">
        <w:rPr>
          <w:rFonts w:ascii="宋体" w:eastAsia="宋体" w:hAnsi="宋体" w:hint="eastAsia"/>
          <w:bCs/>
          <w:sz w:val="24"/>
          <w:szCs w:val="24"/>
        </w:rPr>
        <w:t>000万元</w:t>
      </w:r>
    </w:p>
    <w:p w14:paraId="4DCF86DB" w14:textId="77777777" w:rsidR="00DC329F" w:rsidRDefault="007A1B6B">
      <w:pPr>
        <w:pStyle w:val="aa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已履行及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拟履行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>的审议程序</w:t>
      </w:r>
      <w:r>
        <w:rPr>
          <w:rFonts w:ascii="宋体" w:hAnsi="宋体"/>
          <w:bCs/>
          <w:sz w:val="24"/>
          <w:szCs w:val="24"/>
        </w:rPr>
        <w:t>:</w:t>
      </w:r>
      <w:r>
        <w:rPr>
          <w:rFonts w:ascii="宋体" w:hAnsi="宋体" w:hint="eastAsia"/>
          <w:bCs/>
          <w:sz w:val="24"/>
          <w:szCs w:val="24"/>
        </w:rPr>
        <w:t>经公司第十届董事会第五次会议、第十届监事会第四次会议审议批准。</w:t>
      </w:r>
    </w:p>
    <w:p w14:paraId="1B3D5D7C" w14:textId="77777777" w:rsidR="00DC329F" w:rsidRDefault="007A1B6B">
      <w:pPr>
        <w:pStyle w:val="aa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特别</w:t>
      </w:r>
      <w:r>
        <w:rPr>
          <w:rFonts w:ascii="宋体" w:hAnsi="宋体"/>
          <w:b/>
          <w:bCs/>
          <w:sz w:val="24"/>
          <w:szCs w:val="24"/>
        </w:rPr>
        <w:t>风险提示</w:t>
      </w:r>
      <w:r>
        <w:rPr>
          <w:rFonts w:ascii="宋体" w:hAnsi="宋体" w:hint="eastAsia"/>
          <w:bCs/>
          <w:sz w:val="24"/>
          <w:szCs w:val="24"/>
        </w:rPr>
        <w:t>：</w:t>
      </w:r>
      <w:r>
        <w:rPr>
          <w:rFonts w:ascii="宋体" w:cs="宋体" w:hint="eastAsia"/>
          <w:color w:val="000000"/>
          <w:sz w:val="24"/>
        </w:rPr>
        <w:t>公司将投资安全性高、流动性好、风险较低的理财产品，但金融市场受宏观经济影响，不排除该项投资受到市场波动影响。公司将严格按照相关法律、法规、公司章程等相关规章制度的要求进行相关理财产品的购买，并根据经济形势以及金融市场的变化适时适量的介入。</w:t>
      </w:r>
    </w:p>
    <w:p w14:paraId="6C136AA7" w14:textId="77777777" w:rsidR="00DC329F" w:rsidRDefault="00DC329F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</w:p>
    <w:p w14:paraId="07FAC4A7" w14:textId="77777777" w:rsidR="00DC329F" w:rsidRDefault="007A1B6B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一、投资情况概述</w:t>
      </w:r>
    </w:p>
    <w:p w14:paraId="60EEF803" w14:textId="77777777" w:rsidR="00DC329F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cs="宋体"/>
          <w:b/>
          <w:color w:val="000000"/>
          <w:sz w:val="24"/>
        </w:rPr>
      </w:pPr>
      <w:r>
        <w:rPr>
          <w:rFonts w:ascii="宋体" w:cs="宋体" w:hint="eastAsia"/>
          <w:b/>
          <w:color w:val="000000"/>
          <w:sz w:val="24"/>
        </w:rPr>
        <w:t>（一）投资目的</w:t>
      </w:r>
    </w:p>
    <w:p w14:paraId="0248363E" w14:textId="2B088AB0" w:rsidR="00DC329F" w:rsidRDefault="005E7C0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cs="宋体" w:hint="eastAsia"/>
          <w:color w:val="000000"/>
          <w:sz w:val="24"/>
        </w:rPr>
        <w:t>2023年9月，根据公司</w:t>
      </w:r>
      <w:r w:rsidRPr="0070373D">
        <w:rPr>
          <w:rFonts w:ascii="宋体" w:hAnsi="宋体" w:hint="eastAsia"/>
          <w:bCs/>
          <w:sz w:val="24"/>
          <w:szCs w:val="24"/>
        </w:rPr>
        <w:t>第九届董事会第二十一次会议</w:t>
      </w:r>
      <w:r>
        <w:rPr>
          <w:rFonts w:ascii="宋体" w:hAnsi="宋体" w:hint="eastAsia"/>
          <w:bCs/>
          <w:sz w:val="24"/>
          <w:szCs w:val="24"/>
        </w:rPr>
        <w:t>决议</w:t>
      </w:r>
      <w:r>
        <w:rPr>
          <w:rFonts w:ascii="宋体" w:hAnsi="宋体"/>
          <w:bCs/>
          <w:sz w:val="24"/>
          <w:szCs w:val="24"/>
        </w:rPr>
        <w:t>，</w:t>
      </w:r>
      <w:r>
        <w:rPr>
          <w:rFonts w:ascii="宋体" w:hAnsi="宋体" w:hint="eastAsia"/>
          <w:bCs/>
          <w:sz w:val="24"/>
          <w:szCs w:val="24"/>
        </w:rPr>
        <w:t>同</w:t>
      </w:r>
      <w:r>
        <w:rPr>
          <w:rFonts w:ascii="宋体" w:hAnsi="宋体"/>
          <w:bCs/>
          <w:sz w:val="24"/>
          <w:szCs w:val="24"/>
        </w:rPr>
        <w:t>意公司</w:t>
      </w:r>
      <w:r>
        <w:rPr>
          <w:rFonts w:ascii="宋体" w:cs="宋体"/>
          <w:color w:val="000000"/>
          <w:sz w:val="24"/>
        </w:rPr>
        <w:t>使用</w:t>
      </w:r>
      <w:r>
        <w:rPr>
          <w:rFonts w:ascii="宋体" w:cs="宋体" w:hint="eastAsia"/>
          <w:color w:val="000000"/>
          <w:sz w:val="24"/>
        </w:rPr>
        <w:t>不</w:t>
      </w:r>
      <w:r>
        <w:rPr>
          <w:rFonts w:ascii="宋体" w:cs="宋体"/>
          <w:color w:val="000000"/>
          <w:sz w:val="24"/>
        </w:rPr>
        <w:t>超过</w:t>
      </w:r>
      <w:r>
        <w:rPr>
          <w:rFonts w:ascii="宋体" w:cs="宋体" w:hint="eastAsia"/>
          <w:color w:val="000000"/>
          <w:sz w:val="24"/>
        </w:rPr>
        <w:t>24,000万元</w:t>
      </w:r>
      <w:r>
        <w:rPr>
          <w:rFonts w:ascii="宋体" w:cs="宋体"/>
          <w:color w:val="000000"/>
          <w:sz w:val="24"/>
        </w:rPr>
        <w:t>自有资金购买理财产品</w:t>
      </w:r>
      <w:r>
        <w:rPr>
          <w:rFonts w:ascii="宋体" w:cs="宋体" w:hint="eastAsia"/>
          <w:color w:val="000000"/>
          <w:sz w:val="24"/>
        </w:rPr>
        <w:t>，投资</w:t>
      </w:r>
      <w:r>
        <w:rPr>
          <w:rFonts w:ascii="宋体" w:cs="宋体"/>
          <w:color w:val="000000"/>
          <w:sz w:val="24"/>
        </w:rPr>
        <w:t>期限</w:t>
      </w:r>
      <w:r>
        <w:rPr>
          <w:rFonts w:ascii="宋体" w:cs="宋体" w:hint="eastAsia"/>
          <w:color w:val="000000"/>
          <w:sz w:val="24"/>
        </w:rPr>
        <w:t>自董事会审议通过后12个月之内有效(以</w:t>
      </w:r>
      <w:r>
        <w:rPr>
          <w:rFonts w:ascii="宋体" w:cs="宋体"/>
          <w:color w:val="000000"/>
          <w:sz w:val="24"/>
        </w:rPr>
        <w:t>上详见</w:t>
      </w:r>
      <w:r>
        <w:rPr>
          <w:rFonts w:ascii="宋体" w:cs="宋体" w:hint="eastAsia"/>
          <w:color w:val="000000"/>
          <w:sz w:val="24"/>
        </w:rPr>
        <w:t>2023年9月2日</w:t>
      </w:r>
      <w:r>
        <w:rPr>
          <w:rFonts w:ascii="宋体" w:cs="宋体"/>
          <w:color w:val="000000"/>
          <w:sz w:val="24"/>
        </w:rPr>
        <w:t>公司相关公告</w:t>
      </w:r>
      <w:r>
        <w:rPr>
          <w:rFonts w:ascii="宋体" w:cs="宋体" w:hint="eastAsia"/>
          <w:color w:val="000000"/>
          <w:sz w:val="24"/>
        </w:rPr>
        <w:t>)。鉴于</w:t>
      </w:r>
      <w:r>
        <w:rPr>
          <w:rFonts w:ascii="宋体" w:cs="宋体"/>
          <w:color w:val="000000"/>
          <w:sz w:val="24"/>
        </w:rPr>
        <w:t>以上</w:t>
      </w:r>
      <w:r>
        <w:rPr>
          <w:rFonts w:ascii="宋体" w:cs="宋体" w:hint="eastAsia"/>
          <w:color w:val="000000"/>
          <w:sz w:val="24"/>
        </w:rPr>
        <w:t>董事会</w:t>
      </w:r>
      <w:r>
        <w:rPr>
          <w:rFonts w:ascii="宋体" w:cs="宋体"/>
          <w:color w:val="000000"/>
          <w:sz w:val="24"/>
        </w:rPr>
        <w:t>决议有效期</w:t>
      </w:r>
      <w:r>
        <w:rPr>
          <w:rFonts w:ascii="宋体" w:cs="宋体" w:hint="eastAsia"/>
          <w:color w:val="000000"/>
          <w:sz w:val="24"/>
        </w:rPr>
        <w:t>即</w:t>
      </w:r>
      <w:r>
        <w:rPr>
          <w:rFonts w:ascii="宋体" w:cs="宋体"/>
          <w:color w:val="000000"/>
          <w:sz w:val="24"/>
        </w:rPr>
        <w:t>将到期</w:t>
      </w:r>
      <w:r>
        <w:rPr>
          <w:rFonts w:ascii="宋体" w:cs="宋体" w:hint="eastAsia"/>
          <w:color w:val="000000"/>
          <w:sz w:val="24"/>
        </w:rPr>
        <w:t>，为了提高公司资金使用效益，合理利用闲置资金，</w:t>
      </w:r>
      <w:r w:rsidR="007A1B6B">
        <w:rPr>
          <w:rFonts w:ascii="宋体" w:cs="宋体" w:hint="eastAsia"/>
          <w:color w:val="000000"/>
          <w:sz w:val="24"/>
        </w:rPr>
        <w:t>在不影响正常经营的情况下，公司将</w:t>
      </w:r>
      <w:r>
        <w:rPr>
          <w:rFonts w:ascii="宋体" w:cs="宋体" w:hint="eastAsia"/>
          <w:color w:val="000000"/>
          <w:sz w:val="24"/>
        </w:rPr>
        <w:t>继续</w:t>
      </w:r>
      <w:r w:rsidR="007A1B6B">
        <w:rPr>
          <w:rFonts w:ascii="宋体" w:cs="宋体" w:hint="eastAsia"/>
          <w:color w:val="000000"/>
          <w:sz w:val="24"/>
        </w:rPr>
        <w:t>使用不超</w:t>
      </w:r>
      <w:r w:rsidR="007A1B6B" w:rsidRPr="007A1B6B">
        <w:rPr>
          <w:rFonts w:ascii="宋体" w:cs="宋体" w:hint="eastAsia"/>
          <w:sz w:val="24"/>
        </w:rPr>
        <w:t>过24,000万元人民币自</w:t>
      </w:r>
      <w:r w:rsidR="007A1B6B">
        <w:rPr>
          <w:rFonts w:ascii="宋体" w:cs="宋体" w:hint="eastAsia"/>
          <w:color w:val="000000"/>
          <w:sz w:val="24"/>
        </w:rPr>
        <w:t>有闲置资金</w:t>
      </w:r>
      <w:r w:rsidR="007A1B6B">
        <w:rPr>
          <w:rFonts w:ascii="宋体" w:cs="宋体"/>
          <w:color w:val="000000"/>
          <w:sz w:val="24"/>
        </w:rPr>
        <w:t>择机</w:t>
      </w:r>
      <w:r w:rsidR="007A1B6B">
        <w:rPr>
          <w:rFonts w:ascii="宋体" w:cs="宋体" w:hint="eastAsia"/>
          <w:color w:val="000000"/>
          <w:sz w:val="24"/>
        </w:rPr>
        <w:t>购买</w:t>
      </w:r>
      <w:r w:rsidR="007A1B6B">
        <w:rPr>
          <w:rFonts w:ascii="宋体" w:cs="宋体"/>
          <w:color w:val="000000"/>
          <w:sz w:val="24"/>
        </w:rPr>
        <w:t>中低风险的理财</w:t>
      </w:r>
      <w:r w:rsidR="007A1B6B">
        <w:rPr>
          <w:rFonts w:ascii="宋体" w:cs="宋体" w:hint="eastAsia"/>
          <w:color w:val="000000"/>
          <w:sz w:val="24"/>
        </w:rPr>
        <w:t>产品，以增加公司收益。</w:t>
      </w:r>
    </w:p>
    <w:p w14:paraId="2B3B80FE" w14:textId="77777777" w:rsidR="00DC329F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cs="宋体"/>
          <w:b/>
          <w:color w:val="000000"/>
          <w:sz w:val="24"/>
        </w:rPr>
      </w:pPr>
      <w:r>
        <w:rPr>
          <w:rFonts w:ascii="宋体" w:cs="宋体" w:hint="eastAsia"/>
          <w:b/>
          <w:color w:val="000000"/>
          <w:sz w:val="24"/>
        </w:rPr>
        <w:t>（二）投资金额</w:t>
      </w:r>
    </w:p>
    <w:p w14:paraId="39FEFD8F" w14:textId="77777777" w:rsidR="00DC329F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cs="宋体" w:hint="eastAsia"/>
          <w:color w:val="000000"/>
          <w:sz w:val="24"/>
        </w:rPr>
        <w:lastRenderedPageBreak/>
        <w:t>公司拟使用最高额度不超</w:t>
      </w:r>
      <w:r>
        <w:rPr>
          <w:rFonts w:ascii="宋体" w:cs="宋体" w:hint="eastAsia"/>
          <w:color w:val="000000" w:themeColor="text1"/>
          <w:sz w:val="24"/>
        </w:rPr>
        <w:t>过</w:t>
      </w:r>
      <w:r w:rsidRPr="007A1B6B">
        <w:rPr>
          <w:rFonts w:ascii="宋体" w:cs="宋体" w:hint="eastAsia"/>
          <w:sz w:val="24"/>
        </w:rPr>
        <w:t>24,000万元</w:t>
      </w:r>
      <w:r>
        <w:rPr>
          <w:rFonts w:ascii="宋体" w:cs="宋体" w:hint="eastAsia"/>
          <w:color w:val="000000"/>
          <w:sz w:val="24"/>
        </w:rPr>
        <w:t>人民币自有资金投资理财产品。在上述额度内，资金可以滚动使用，公司在任一时点购买理财产品总额不超过上述额度。单只理财产品的期限不超过一年。</w:t>
      </w:r>
    </w:p>
    <w:p w14:paraId="4D913D44" w14:textId="77777777" w:rsidR="00DC329F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cs="宋体"/>
          <w:b/>
          <w:color w:val="000000"/>
          <w:sz w:val="24"/>
        </w:rPr>
      </w:pPr>
      <w:r>
        <w:rPr>
          <w:rFonts w:ascii="宋体" w:cs="宋体" w:hint="eastAsia"/>
          <w:b/>
          <w:color w:val="000000"/>
          <w:sz w:val="24"/>
        </w:rPr>
        <w:t>（三）资金来源</w:t>
      </w:r>
    </w:p>
    <w:p w14:paraId="0424852C" w14:textId="77777777" w:rsidR="00DC329F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cs="宋体" w:hint="eastAsia"/>
          <w:color w:val="000000"/>
          <w:sz w:val="24"/>
        </w:rPr>
        <w:t>公司自有闲置资金。</w:t>
      </w:r>
    </w:p>
    <w:p w14:paraId="29618C7E" w14:textId="77777777" w:rsidR="00DC329F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cs="宋体"/>
          <w:b/>
          <w:color w:val="000000"/>
          <w:sz w:val="24"/>
        </w:rPr>
      </w:pPr>
      <w:r>
        <w:rPr>
          <w:rFonts w:ascii="宋体" w:cs="宋体" w:hint="eastAsia"/>
          <w:b/>
          <w:color w:val="000000"/>
          <w:sz w:val="24"/>
        </w:rPr>
        <w:t>（四）投资方式</w:t>
      </w:r>
    </w:p>
    <w:p w14:paraId="41383941" w14:textId="77777777" w:rsidR="00DC329F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cs="宋体"/>
          <w:color w:val="000000"/>
          <w:sz w:val="24"/>
        </w:rPr>
        <w:t>公司拟购买的理财产品包括银行、券商、基金公司等金融机构发行的结构性 存款、收益凭证、基金、债券等中低风险理财产品。董事会在额度范围内授权管 理</w:t>
      </w:r>
      <w:proofErr w:type="gramStart"/>
      <w:r>
        <w:rPr>
          <w:rFonts w:ascii="宋体" w:cs="宋体"/>
          <w:color w:val="000000"/>
          <w:sz w:val="24"/>
        </w:rPr>
        <w:t>层负责</w:t>
      </w:r>
      <w:proofErr w:type="gramEnd"/>
      <w:r>
        <w:rPr>
          <w:rFonts w:ascii="宋体" w:cs="宋体"/>
          <w:color w:val="000000"/>
          <w:sz w:val="24"/>
        </w:rPr>
        <w:t>具体实施。</w:t>
      </w:r>
    </w:p>
    <w:p w14:paraId="536E2133" w14:textId="77777777" w:rsidR="00DC329F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cs="宋体"/>
          <w:color w:val="000000"/>
          <w:sz w:val="24"/>
        </w:rPr>
        <w:t>本次使用闲置自有资金</w:t>
      </w:r>
      <w:r>
        <w:rPr>
          <w:rFonts w:ascii="宋体" w:cs="宋体" w:hint="eastAsia"/>
          <w:color w:val="000000"/>
          <w:sz w:val="24"/>
        </w:rPr>
        <w:t>购买</w:t>
      </w:r>
      <w:r>
        <w:rPr>
          <w:rFonts w:ascii="宋体" w:cs="宋体"/>
          <w:color w:val="000000"/>
          <w:sz w:val="24"/>
        </w:rPr>
        <w:t>理财</w:t>
      </w:r>
      <w:r>
        <w:rPr>
          <w:rFonts w:ascii="宋体" w:cs="宋体" w:hint="eastAsia"/>
          <w:color w:val="000000"/>
          <w:sz w:val="24"/>
        </w:rPr>
        <w:t>产品</w:t>
      </w:r>
      <w:r>
        <w:rPr>
          <w:rFonts w:ascii="宋体" w:cs="宋体"/>
          <w:color w:val="000000"/>
          <w:sz w:val="24"/>
        </w:rPr>
        <w:t>不构成关联交易。</w:t>
      </w:r>
    </w:p>
    <w:p w14:paraId="7F281989" w14:textId="77777777" w:rsidR="00DC329F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cs="宋体"/>
          <w:b/>
          <w:color w:val="000000"/>
          <w:sz w:val="24"/>
        </w:rPr>
      </w:pPr>
      <w:r>
        <w:rPr>
          <w:rFonts w:ascii="宋体" w:cs="宋体" w:hint="eastAsia"/>
          <w:b/>
          <w:color w:val="000000"/>
          <w:sz w:val="24"/>
        </w:rPr>
        <w:t>（五）投资期限</w:t>
      </w:r>
    </w:p>
    <w:p w14:paraId="7F6F93EF" w14:textId="77777777" w:rsidR="00DC329F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cs="宋体" w:hint="eastAsia"/>
          <w:color w:val="000000"/>
          <w:sz w:val="24"/>
        </w:rPr>
        <w:t>自董事会审议通过后12个月之内有效。</w:t>
      </w:r>
    </w:p>
    <w:p w14:paraId="7CB5C33F" w14:textId="77777777" w:rsidR="00DC329F" w:rsidRDefault="00DC329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</w:p>
    <w:p w14:paraId="720D5F8B" w14:textId="77777777" w:rsidR="00DC329F" w:rsidRDefault="007A1B6B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二、审议程序</w:t>
      </w:r>
    </w:p>
    <w:p w14:paraId="5AC609A0" w14:textId="4D486AF0" w:rsidR="007A1B6B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2024年8月1</w:t>
      </w:r>
      <w:r>
        <w:rPr>
          <w:rFonts w:asciiTheme="minorEastAsia" w:hAnsiTheme="minorEastAsia"/>
          <w:color w:val="000000" w:themeColor="text1"/>
          <w:sz w:val="24"/>
          <w:szCs w:val="24"/>
        </w:rPr>
        <w:t>5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日，公司召</w:t>
      </w:r>
      <w:r>
        <w:rPr>
          <w:rFonts w:ascii="宋体" w:hAnsi="宋体" w:hint="eastAsia"/>
          <w:color w:val="000000" w:themeColor="text1"/>
          <w:sz w:val="24"/>
        </w:rPr>
        <w:t>开第十届董事会第五次会议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、第十届监事会第</w:t>
      </w:r>
      <w:r w:rsidR="00F66F34">
        <w:rPr>
          <w:rFonts w:asciiTheme="minorEastAsia" w:hAnsiTheme="minorEastAsia" w:hint="eastAsia"/>
          <w:color w:val="000000" w:themeColor="text1"/>
          <w:sz w:val="24"/>
          <w:szCs w:val="24"/>
        </w:rPr>
        <w:t>四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次会议，审议通过了《关于使用自有闲置资金购买理财产品的议案》，同意公司在不影响正常经营的情况下，使用不超</w:t>
      </w:r>
      <w:r w:rsidRPr="007A1B6B">
        <w:rPr>
          <w:rFonts w:asciiTheme="minorEastAsia" w:hAnsiTheme="minorEastAsia" w:hint="eastAsia"/>
          <w:sz w:val="24"/>
          <w:szCs w:val="24"/>
        </w:rPr>
        <w:t>过24,000万元人民币自</w:t>
      </w:r>
      <w:r>
        <w:rPr>
          <w:rFonts w:asciiTheme="minorEastAsia" w:hAnsiTheme="minorEastAsia" w:hint="eastAsia"/>
          <w:sz w:val="24"/>
          <w:szCs w:val="24"/>
        </w:rPr>
        <w:t>有闲置资金，购买金融机构理财产品。该</w:t>
      </w:r>
      <w:r>
        <w:rPr>
          <w:rFonts w:asciiTheme="minorEastAsia" w:hAnsiTheme="minorEastAsia"/>
          <w:sz w:val="24"/>
          <w:szCs w:val="24"/>
        </w:rPr>
        <w:t>事项</w:t>
      </w:r>
      <w:r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/>
          <w:sz w:val="24"/>
          <w:szCs w:val="24"/>
        </w:rPr>
        <w:t>董事会审批权限范围内，无需提交公司股东大会审议。</w:t>
      </w:r>
    </w:p>
    <w:p w14:paraId="30196CEE" w14:textId="77777777" w:rsidR="00DC329F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董事会同时授权董事长在额度范围及有效期内，行使该项</w:t>
      </w:r>
      <w:bookmarkStart w:id="0" w:name="_GoBack"/>
      <w:bookmarkEnd w:id="0"/>
      <w:r>
        <w:rPr>
          <w:rFonts w:ascii="宋体" w:hAnsi="宋体" w:hint="eastAsia"/>
          <w:color w:val="000000" w:themeColor="text1"/>
          <w:sz w:val="24"/>
        </w:rPr>
        <w:t>投资决策权并签署相关合同文件，由公司财务总监负责具体购买事宜。</w:t>
      </w:r>
    </w:p>
    <w:p w14:paraId="35734C81" w14:textId="77777777" w:rsidR="00DC329F" w:rsidRPr="007A1B6B" w:rsidRDefault="00DC329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624911FB" w14:textId="77777777" w:rsidR="00DC329F" w:rsidRDefault="007A1B6B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三、风险分析</w:t>
      </w:r>
      <w:proofErr w:type="gramStart"/>
      <w:r>
        <w:rPr>
          <w:rFonts w:ascii="黑体" w:eastAsia="黑体" w:hAnsi="黑体"/>
          <w:sz w:val="24"/>
          <w:szCs w:val="24"/>
        </w:rPr>
        <w:t>及风控措施</w:t>
      </w:r>
      <w:proofErr w:type="gramEnd"/>
      <w:r>
        <w:rPr>
          <w:rFonts w:ascii="黑体" w:eastAsia="黑体" w:hAnsi="黑体"/>
          <w:sz w:val="24"/>
          <w:szCs w:val="24"/>
        </w:rPr>
        <w:t xml:space="preserve"> </w:t>
      </w:r>
    </w:p>
    <w:p w14:paraId="60A519C4" w14:textId="77777777" w:rsidR="00DC329F" w:rsidRPr="007A1B6B" w:rsidRDefault="007A1B6B">
      <w:pPr>
        <w:adjustRightInd w:val="0"/>
        <w:snapToGrid w:val="0"/>
        <w:spacing w:line="360" w:lineRule="auto"/>
        <w:ind w:firstLineChars="200" w:firstLine="482"/>
        <w:rPr>
          <w:rFonts w:ascii="宋体" w:cs="宋体"/>
          <w:b/>
          <w:bCs/>
          <w:sz w:val="24"/>
        </w:rPr>
      </w:pPr>
      <w:r w:rsidRPr="007A1B6B">
        <w:rPr>
          <w:rFonts w:ascii="宋体" w:cs="宋体" w:hint="eastAsia"/>
          <w:b/>
          <w:bCs/>
          <w:sz w:val="24"/>
        </w:rPr>
        <w:t>（一）投资风险</w:t>
      </w:r>
    </w:p>
    <w:p w14:paraId="314857A5" w14:textId="77777777" w:rsidR="00DC329F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cs="宋体" w:hint="eastAsia"/>
          <w:color w:val="000000"/>
          <w:sz w:val="24"/>
        </w:rPr>
        <w:t>尽管本次公司投资安全性高、流动性好、风险较低的理财产品，但金融市场受宏观经济影响，不排除该项投资受到市场波动影响。公司将严格按照相关法律、法规、公司章程等相关规章制度的要求进行相关理财产品的购买，并根据经济形势以及金融市场的变化适时适量的介入。</w:t>
      </w:r>
    </w:p>
    <w:p w14:paraId="5151A0FF" w14:textId="77777777" w:rsidR="00DC329F" w:rsidRPr="007A1B6B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cs="宋体"/>
          <w:b/>
          <w:bCs/>
          <w:sz w:val="24"/>
        </w:rPr>
      </w:pPr>
      <w:r w:rsidRPr="007A1B6B">
        <w:rPr>
          <w:rFonts w:ascii="宋体" w:cs="宋体" w:hint="eastAsia"/>
          <w:b/>
          <w:bCs/>
          <w:sz w:val="24"/>
        </w:rPr>
        <w:t>（二）风险</w:t>
      </w:r>
      <w:r w:rsidRPr="007A1B6B">
        <w:rPr>
          <w:rFonts w:ascii="宋体" w:cs="宋体"/>
          <w:b/>
          <w:bCs/>
          <w:sz w:val="24"/>
        </w:rPr>
        <w:t>控制</w:t>
      </w:r>
      <w:r w:rsidRPr="007A1B6B">
        <w:rPr>
          <w:rFonts w:ascii="宋体" w:cs="宋体" w:hint="eastAsia"/>
          <w:b/>
          <w:bCs/>
          <w:sz w:val="24"/>
        </w:rPr>
        <w:t>措施</w:t>
      </w:r>
    </w:p>
    <w:p w14:paraId="3ACE6CE0" w14:textId="77777777" w:rsidR="00DC329F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cs="宋体" w:hint="eastAsia"/>
          <w:color w:val="000000"/>
          <w:sz w:val="24"/>
        </w:rPr>
        <w:t>1、公司财务管理中心负责购买金融机构理财产品相关事项的管理工作。财务管理中心将建立台账管理，对资金运用的经济活动建立健全完整的会计账目，</w:t>
      </w:r>
      <w:r>
        <w:rPr>
          <w:rFonts w:ascii="宋体" w:cs="宋体" w:hint="eastAsia"/>
          <w:color w:val="000000"/>
          <w:sz w:val="24"/>
        </w:rPr>
        <w:lastRenderedPageBreak/>
        <w:t>做好资金使用的财务核算工作；及时分析和跟踪理财产品投向、项目进展情况，如发现或判断有不利因素，及时采取相应措施，控制投资风险；</w:t>
      </w:r>
    </w:p>
    <w:p w14:paraId="1973DD22" w14:textId="77777777" w:rsidR="00DC329F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cs="宋体" w:hint="eastAsia"/>
          <w:color w:val="000000"/>
          <w:sz w:val="24"/>
        </w:rPr>
        <w:t>2、公司内部审计部门负责内部监督，定期对投资的理财产品进行全面检查；</w:t>
      </w:r>
    </w:p>
    <w:p w14:paraId="7A4DF0CE" w14:textId="77777777" w:rsidR="00DC329F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cs="宋体" w:hint="eastAsia"/>
          <w:color w:val="000000"/>
          <w:sz w:val="24"/>
        </w:rPr>
        <w:t>3、独立董事、监事会有权对使用资金购买理财产品情况进行监督与检查，必要时可以聘请专业机构进行审计。</w:t>
      </w:r>
    </w:p>
    <w:p w14:paraId="4376EF38" w14:textId="77777777" w:rsidR="00DC329F" w:rsidRDefault="00DC329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17D7A8BD" w14:textId="77777777" w:rsidR="00DC329F" w:rsidRDefault="007A1B6B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 xml:space="preserve">四、对公司的影响 </w:t>
      </w:r>
    </w:p>
    <w:p w14:paraId="34A20445" w14:textId="77777777" w:rsidR="00DC329F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本次交易是在不影响公司日常经营活动、确保资金安全性和流动性的前提下，提高闲置自有资金使用效率，增加公司资金收益。本次交易符合公司正常生产经营的客观需要，不会对公司的财务状况、经营成果产生不利影响，符合公司和全体股东的利益。 </w:t>
      </w:r>
    </w:p>
    <w:p w14:paraId="22DC2F7C" w14:textId="77777777" w:rsidR="00DC329F" w:rsidRDefault="007A1B6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根据财政部发布的金融工具准则相关规定，上述</w:t>
      </w:r>
      <w:r>
        <w:rPr>
          <w:rFonts w:asciiTheme="minorEastAsia" w:hAnsiTheme="minorEastAsia" w:hint="eastAsia"/>
          <w:sz w:val="24"/>
          <w:szCs w:val="24"/>
        </w:rPr>
        <w:t>购买</w:t>
      </w:r>
      <w:r>
        <w:rPr>
          <w:rFonts w:asciiTheme="minorEastAsia" w:hAnsiTheme="minorEastAsia"/>
          <w:sz w:val="24"/>
          <w:szCs w:val="24"/>
        </w:rPr>
        <w:t>理财产品</w:t>
      </w:r>
      <w:r>
        <w:rPr>
          <w:rFonts w:asciiTheme="minorEastAsia" w:hAnsiTheme="minorEastAsia" w:hint="eastAsia"/>
          <w:sz w:val="24"/>
          <w:szCs w:val="24"/>
        </w:rPr>
        <w:t>将</w:t>
      </w:r>
      <w:r>
        <w:rPr>
          <w:rFonts w:asciiTheme="minorEastAsia" w:hAnsiTheme="minorEastAsia"/>
          <w:sz w:val="24"/>
          <w:szCs w:val="24"/>
        </w:rPr>
        <w:t>计入资产负债表中交易性金融资产或其他非流动金融资产，相关收益计入利润表中投资收益或公允价值变动收益,最终会计处理以会计师年度审计的结果为准。</w:t>
      </w:r>
    </w:p>
    <w:p w14:paraId="0EA424BC" w14:textId="77777777" w:rsidR="00DC329F" w:rsidRDefault="00DC329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0E8EC57A" w14:textId="77777777" w:rsidR="00DC329F" w:rsidRDefault="007A1B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14:paraId="6510B193" w14:textId="77777777" w:rsidR="00DC329F" w:rsidRDefault="00DC329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75F50294" w14:textId="77777777" w:rsidR="00DC329F" w:rsidRDefault="00DC329F">
      <w:pPr>
        <w:adjustRightInd w:val="0"/>
        <w:snapToGrid w:val="0"/>
        <w:spacing w:line="360" w:lineRule="auto"/>
        <w:ind w:leftChars="1748" w:left="3671" w:firstLineChars="200" w:firstLine="480"/>
        <w:rPr>
          <w:rFonts w:ascii="宋体" w:hAnsi="宋体"/>
          <w:sz w:val="24"/>
        </w:rPr>
      </w:pPr>
    </w:p>
    <w:p w14:paraId="7A97B489" w14:textId="77777777" w:rsidR="00DC329F" w:rsidRDefault="007A1B6B">
      <w:pPr>
        <w:adjustRightInd w:val="0"/>
        <w:snapToGrid w:val="0"/>
        <w:spacing w:line="360" w:lineRule="auto"/>
        <w:ind w:firstLineChars="1950" w:firstLine="4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安徽铜峰电子股份有限公司董事会</w:t>
      </w:r>
    </w:p>
    <w:p w14:paraId="6F9225A6" w14:textId="77777777" w:rsidR="00DC329F" w:rsidRDefault="007A1B6B">
      <w:pPr>
        <w:adjustRightInd w:val="0"/>
        <w:snapToGrid w:val="0"/>
        <w:spacing w:line="360" w:lineRule="auto"/>
        <w:ind w:leftChars="2090" w:left="4389" w:firstLineChars="200" w:firstLine="480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color w:val="FF0000"/>
          <w:sz w:val="24"/>
        </w:rPr>
        <w:t xml:space="preserve">    </w:t>
      </w:r>
      <w:r>
        <w:rPr>
          <w:rFonts w:ascii="宋体" w:hAnsi="宋体" w:hint="eastAsia"/>
          <w:color w:val="000000" w:themeColor="text1"/>
          <w:sz w:val="24"/>
        </w:rPr>
        <w:t xml:space="preserve"> 202</w:t>
      </w:r>
      <w:r>
        <w:rPr>
          <w:rFonts w:ascii="宋体" w:hAnsi="宋体"/>
          <w:color w:val="000000" w:themeColor="text1"/>
          <w:sz w:val="24"/>
        </w:rPr>
        <w:t>4</w:t>
      </w:r>
      <w:r>
        <w:rPr>
          <w:rFonts w:ascii="宋体" w:hAnsi="宋体" w:hint="eastAsia"/>
          <w:color w:val="000000" w:themeColor="text1"/>
          <w:sz w:val="24"/>
        </w:rPr>
        <w:t>年8月17日</w:t>
      </w:r>
    </w:p>
    <w:p w14:paraId="2D5803F8" w14:textId="77777777" w:rsidR="00DC329F" w:rsidRDefault="00DC329F">
      <w:pPr>
        <w:adjustRightInd w:val="0"/>
        <w:snapToGrid w:val="0"/>
        <w:spacing w:line="360" w:lineRule="auto"/>
        <w:ind w:firstLineChars="200" w:firstLine="420"/>
      </w:pPr>
    </w:p>
    <w:sectPr w:rsidR="00DC3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multilevel"/>
    <w:tmpl w:val="28CD7E0F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4646B16"/>
    <w:multiLevelType w:val="multilevel"/>
    <w:tmpl w:val="74646B16"/>
    <w:lvl w:ilvl="0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yMjEzNmY3YWYwZGUzN2JjNTcxYjdmNzY2ZmY0NTUifQ=="/>
  </w:docVars>
  <w:rsids>
    <w:rsidRoot w:val="00405C62"/>
    <w:rsid w:val="00001E5D"/>
    <w:rsid w:val="00016673"/>
    <w:rsid w:val="00021C2A"/>
    <w:rsid w:val="0003425C"/>
    <w:rsid w:val="00047764"/>
    <w:rsid w:val="00050C05"/>
    <w:rsid w:val="000548AC"/>
    <w:rsid w:val="000832BA"/>
    <w:rsid w:val="000A09DC"/>
    <w:rsid w:val="000B1F82"/>
    <w:rsid w:val="000C5F4F"/>
    <w:rsid w:val="000E7095"/>
    <w:rsid w:val="00114C49"/>
    <w:rsid w:val="00123A12"/>
    <w:rsid w:val="00136EA3"/>
    <w:rsid w:val="001745E1"/>
    <w:rsid w:val="001749FD"/>
    <w:rsid w:val="001809E7"/>
    <w:rsid w:val="00195ED1"/>
    <w:rsid w:val="001B2F32"/>
    <w:rsid w:val="001C6670"/>
    <w:rsid w:val="001E07A9"/>
    <w:rsid w:val="001E21B0"/>
    <w:rsid w:val="002260B5"/>
    <w:rsid w:val="0023452C"/>
    <w:rsid w:val="00243F4D"/>
    <w:rsid w:val="00256653"/>
    <w:rsid w:val="002642D1"/>
    <w:rsid w:val="00274B15"/>
    <w:rsid w:val="00290254"/>
    <w:rsid w:val="00294140"/>
    <w:rsid w:val="002B110C"/>
    <w:rsid w:val="002C4D6D"/>
    <w:rsid w:val="002D210D"/>
    <w:rsid w:val="002D4264"/>
    <w:rsid w:val="002E0FA2"/>
    <w:rsid w:val="003479C1"/>
    <w:rsid w:val="00374C64"/>
    <w:rsid w:val="0038166C"/>
    <w:rsid w:val="0039758D"/>
    <w:rsid w:val="003C7972"/>
    <w:rsid w:val="003F5ED0"/>
    <w:rsid w:val="00405C62"/>
    <w:rsid w:val="00405E50"/>
    <w:rsid w:val="00431B69"/>
    <w:rsid w:val="00437996"/>
    <w:rsid w:val="004A6FAA"/>
    <w:rsid w:val="004B4336"/>
    <w:rsid w:val="004E2803"/>
    <w:rsid w:val="004F05B2"/>
    <w:rsid w:val="00523847"/>
    <w:rsid w:val="00526490"/>
    <w:rsid w:val="005403DA"/>
    <w:rsid w:val="005438AF"/>
    <w:rsid w:val="005443C9"/>
    <w:rsid w:val="00575F12"/>
    <w:rsid w:val="005841AA"/>
    <w:rsid w:val="005913E8"/>
    <w:rsid w:val="005A6A78"/>
    <w:rsid w:val="005B6FFE"/>
    <w:rsid w:val="005C7677"/>
    <w:rsid w:val="005E7C08"/>
    <w:rsid w:val="00607197"/>
    <w:rsid w:val="00650F14"/>
    <w:rsid w:val="0066210A"/>
    <w:rsid w:val="0066666E"/>
    <w:rsid w:val="006C545A"/>
    <w:rsid w:val="006D3BA8"/>
    <w:rsid w:val="006E6D22"/>
    <w:rsid w:val="0070373D"/>
    <w:rsid w:val="00712EDE"/>
    <w:rsid w:val="007276F0"/>
    <w:rsid w:val="0073711F"/>
    <w:rsid w:val="007504CA"/>
    <w:rsid w:val="00756CAB"/>
    <w:rsid w:val="007666BF"/>
    <w:rsid w:val="007A1B6B"/>
    <w:rsid w:val="007B43A9"/>
    <w:rsid w:val="007C7F57"/>
    <w:rsid w:val="007F342F"/>
    <w:rsid w:val="008D51E9"/>
    <w:rsid w:val="008E20F8"/>
    <w:rsid w:val="009341A3"/>
    <w:rsid w:val="00940179"/>
    <w:rsid w:val="00972090"/>
    <w:rsid w:val="009816AA"/>
    <w:rsid w:val="00987117"/>
    <w:rsid w:val="00A46749"/>
    <w:rsid w:val="00A63337"/>
    <w:rsid w:val="00AB2E43"/>
    <w:rsid w:val="00AC1EA7"/>
    <w:rsid w:val="00AF4DB0"/>
    <w:rsid w:val="00B17D75"/>
    <w:rsid w:val="00B631A6"/>
    <w:rsid w:val="00B66723"/>
    <w:rsid w:val="00B81B44"/>
    <w:rsid w:val="00B84B9D"/>
    <w:rsid w:val="00B95094"/>
    <w:rsid w:val="00B95D8A"/>
    <w:rsid w:val="00BA055D"/>
    <w:rsid w:val="00BB3797"/>
    <w:rsid w:val="00BB5FA0"/>
    <w:rsid w:val="00BF4C85"/>
    <w:rsid w:val="00BF6EFB"/>
    <w:rsid w:val="00C24F85"/>
    <w:rsid w:val="00C35700"/>
    <w:rsid w:val="00C74A60"/>
    <w:rsid w:val="00C8119E"/>
    <w:rsid w:val="00C848AA"/>
    <w:rsid w:val="00C85983"/>
    <w:rsid w:val="00C90957"/>
    <w:rsid w:val="00CC4441"/>
    <w:rsid w:val="00CC5F79"/>
    <w:rsid w:val="00CC62B6"/>
    <w:rsid w:val="00CE01F8"/>
    <w:rsid w:val="00CE262C"/>
    <w:rsid w:val="00CE2D7F"/>
    <w:rsid w:val="00D04F4A"/>
    <w:rsid w:val="00D44DDD"/>
    <w:rsid w:val="00D92D11"/>
    <w:rsid w:val="00D95126"/>
    <w:rsid w:val="00DC329F"/>
    <w:rsid w:val="00DD6BB0"/>
    <w:rsid w:val="00DD7E4F"/>
    <w:rsid w:val="00DF1FA9"/>
    <w:rsid w:val="00DF6360"/>
    <w:rsid w:val="00DF79F3"/>
    <w:rsid w:val="00E00C33"/>
    <w:rsid w:val="00E13190"/>
    <w:rsid w:val="00E261D3"/>
    <w:rsid w:val="00E452F2"/>
    <w:rsid w:val="00E454CA"/>
    <w:rsid w:val="00E71E5D"/>
    <w:rsid w:val="00E72B49"/>
    <w:rsid w:val="00E95F0A"/>
    <w:rsid w:val="00EB642A"/>
    <w:rsid w:val="00EE0F53"/>
    <w:rsid w:val="00EE30F6"/>
    <w:rsid w:val="00F06C81"/>
    <w:rsid w:val="00F53BA0"/>
    <w:rsid w:val="00F55FB5"/>
    <w:rsid w:val="00F66F34"/>
    <w:rsid w:val="00F864E6"/>
    <w:rsid w:val="00F92612"/>
    <w:rsid w:val="00FC49AC"/>
    <w:rsid w:val="00FD3D77"/>
    <w:rsid w:val="00FF2301"/>
    <w:rsid w:val="5AE976E0"/>
    <w:rsid w:val="7DEC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A145"/>
  <w15:docId w15:val="{A8D046AB-2882-4673-B675-1546DC30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8">
    <w:name w:val="Emphasis"/>
    <w:basedOn w:val="a0"/>
    <w:uiPriority w:val="20"/>
    <w:qFormat/>
    <w:rPr>
      <w:color w:val="F73131"/>
    </w:rPr>
  </w:style>
  <w:style w:type="character" w:styleId="a9">
    <w:name w:val="Hyperlink"/>
    <w:basedOn w:val="a0"/>
    <w:uiPriority w:val="99"/>
    <w:semiHidden/>
    <w:unhideWhenUsed/>
    <w:rPr>
      <w:color w:val="864654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-font-normal2">
    <w:name w:val="c-font-normal2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253</Words>
  <Characters>1443</Characters>
  <Application>Microsoft Office Word</Application>
  <DocSecurity>0</DocSecurity>
  <Lines>12</Lines>
  <Paragraphs>3</Paragraphs>
  <ScaleCrop>false</ScaleCrop>
  <Company>微软中国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李骏</cp:lastModifiedBy>
  <cp:revision>28</cp:revision>
  <dcterms:created xsi:type="dcterms:W3CDTF">2022-01-18T07:16:00Z</dcterms:created>
  <dcterms:modified xsi:type="dcterms:W3CDTF">2024-08-14T06:49:00Z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4302CA96161C45538C07576F59F5B2A5</vt:lpwstr>
  </property>
</Properties>
</file>