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994" w:rsidRDefault="005C4C59">
      <w:pPr>
        <w:adjustRightInd w:val="0"/>
        <w:snapToGrid w:val="0"/>
        <w:spacing w:line="360" w:lineRule="auto"/>
        <w:rPr>
          <w:rFonts w:ascii="黑体" w:eastAsia="黑体"/>
          <w:sz w:val="28"/>
        </w:rPr>
      </w:pPr>
      <w:r>
        <w:rPr>
          <w:rFonts w:ascii="黑体" w:eastAsia="黑体" w:hint="eastAsia"/>
          <w:sz w:val="28"/>
        </w:rPr>
        <w:t>证券代码：</w:t>
      </w:r>
      <w:r>
        <w:rPr>
          <w:rFonts w:ascii="黑体" w:eastAsia="黑体"/>
          <w:sz w:val="28"/>
        </w:rPr>
        <w:t xml:space="preserve">600237    </w:t>
      </w:r>
      <w:r>
        <w:rPr>
          <w:rFonts w:ascii="黑体" w:eastAsia="黑体" w:hint="eastAsia"/>
          <w:sz w:val="28"/>
        </w:rPr>
        <w:t xml:space="preserve"> </w:t>
      </w:r>
      <w:r>
        <w:rPr>
          <w:rFonts w:ascii="黑体" w:eastAsia="黑体"/>
          <w:sz w:val="28"/>
        </w:rPr>
        <w:t xml:space="preserve"> </w:t>
      </w:r>
      <w:r>
        <w:rPr>
          <w:rFonts w:ascii="黑体" w:eastAsia="黑体" w:hint="eastAsia"/>
          <w:sz w:val="28"/>
        </w:rPr>
        <w:t>证券简称：铜峰电子</w:t>
      </w:r>
      <w:r>
        <w:rPr>
          <w:rFonts w:ascii="黑体" w:eastAsia="黑体"/>
          <w:sz w:val="28"/>
        </w:rPr>
        <w:t xml:space="preserve">  </w:t>
      </w:r>
      <w:r>
        <w:rPr>
          <w:rFonts w:ascii="黑体" w:eastAsia="黑体" w:hint="eastAsia"/>
          <w:sz w:val="28"/>
        </w:rPr>
        <w:t xml:space="preserve"> </w:t>
      </w:r>
      <w:r>
        <w:rPr>
          <w:rFonts w:ascii="黑体" w:eastAsia="黑体"/>
          <w:sz w:val="28"/>
        </w:rPr>
        <w:t xml:space="preserve">  </w:t>
      </w:r>
      <w:r>
        <w:rPr>
          <w:rFonts w:ascii="黑体" w:eastAsia="黑体" w:hint="eastAsia"/>
          <w:sz w:val="28"/>
        </w:rPr>
        <w:t>编号：202</w:t>
      </w:r>
      <w:r w:rsidR="003B4268">
        <w:rPr>
          <w:rFonts w:ascii="黑体" w:eastAsia="黑体" w:hint="eastAsia"/>
          <w:sz w:val="28"/>
        </w:rPr>
        <w:t>4</w:t>
      </w:r>
      <w:r>
        <w:rPr>
          <w:rFonts w:ascii="黑体" w:eastAsia="黑体" w:hint="eastAsia"/>
          <w:sz w:val="28"/>
        </w:rPr>
        <w:t>-</w:t>
      </w:r>
      <w:r w:rsidR="003B4268">
        <w:rPr>
          <w:rFonts w:ascii="黑体" w:eastAsia="黑体" w:hint="eastAsia"/>
          <w:sz w:val="28"/>
        </w:rPr>
        <w:t>017</w:t>
      </w:r>
    </w:p>
    <w:p w:rsidR="00716994" w:rsidRDefault="00716994">
      <w:pPr>
        <w:adjustRightInd w:val="0"/>
        <w:snapToGrid w:val="0"/>
        <w:spacing w:line="360" w:lineRule="auto"/>
        <w:rPr>
          <w:rFonts w:ascii="黑体" w:eastAsia="黑体"/>
          <w:sz w:val="28"/>
        </w:rPr>
      </w:pPr>
    </w:p>
    <w:p w:rsidR="00716994" w:rsidRDefault="005C4C59">
      <w:pPr>
        <w:adjustRightInd w:val="0"/>
        <w:snapToGrid w:val="0"/>
        <w:spacing w:line="360" w:lineRule="auto"/>
        <w:jc w:val="center"/>
        <w:rPr>
          <w:rFonts w:ascii="黑体" w:eastAsia="黑体"/>
          <w:color w:val="FF0000"/>
          <w:sz w:val="36"/>
        </w:rPr>
      </w:pPr>
      <w:r>
        <w:rPr>
          <w:rFonts w:ascii="黑体" w:eastAsia="黑体" w:hint="eastAsia"/>
          <w:color w:val="FF0000"/>
          <w:sz w:val="36"/>
        </w:rPr>
        <w:t>安徽铜峰电子股份有限公司</w:t>
      </w:r>
    </w:p>
    <w:p w:rsidR="00716994" w:rsidRDefault="00D95F4C" w:rsidP="00D95F4C">
      <w:pPr>
        <w:adjustRightInd w:val="0"/>
        <w:snapToGrid w:val="0"/>
        <w:spacing w:line="360" w:lineRule="auto"/>
        <w:jc w:val="center"/>
        <w:rPr>
          <w:rFonts w:ascii="黑体" w:eastAsia="黑体"/>
          <w:color w:val="FF0000"/>
          <w:sz w:val="36"/>
        </w:rPr>
      </w:pPr>
      <w:r w:rsidRPr="00D95F4C">
        <w:rPr>
          <w:rFonts w:ascii="黑体" w:eastAsia="黑体" w:hint="eastAsia"/>
          <w:color w:val="FF0000"/>
          <w:sz w:val="36"/>
        </w:rPr>
        <w:t>关于控股股东无偿划转公司股份的提示性公告</w:t>
      </w:r>
    </w:p>
    <w:p w:rsidR="00716994" w:rsidRPr="00D95F4C" w:rsidRDefault="00716994">
      <w:pPr>
        <w:adjustRightInd w:val="0"/>
        <w:snapToGrid w:val="0"/>
        <w:spacing w:line="360" w:lineRule="auto"/>
        <w:ind w:firstLine="567"/>
        <w:rPr>
          <w:rFonts w:ascii="仿宋_GB2312" w:eastAsia="仿宋_GB2312"/>
          <w:b/>
          <w:sz w:val="28"/>
        </w:rPr>
      </w:pPr>
    </w:p>
    <w:p w:rsidR="00716994" w:rsidRDefault="005C4C59">
      <w:pPr>
        <w:adjustRightInd w:val="0"/>
        <w:snapToGrid w:val="0"/>
        <w:spacing w:line="360" w:lineRule="auto"/>
        <w:ind w:firstLineChars="200" w:firstLine="482"/>
        <w:rPr>
          <w:rFonts w:ascii="宋体" w:hAnsi="宋体"/>
          <w:b/>
          <w:sz w:val="24"/>
        </w:rPr>
      </w:pPr>
      <w:r>
        <w:rPr>
          <w:rFonts w:ascii="宋体" w:hAnsi="宋体" w:hint="eastAsia"/>
          <w:b/>
          <w:sz w:val="24"/>
        </w:rPr>
        <w:t>本公司董事会及全体董事保证本公告内容不存在任何虚假记载、误导性陈述或者重大遗漏，并对其内容的真实性、准确性和完整性承担法律责任。</w:t>
      </w:r>
    </w:p>
    <w:p w:rsidR="00716994" w:rsidRDefault="005C4C59">
      <w:pPr>
        <w:adjustRightInd w:val="0"/>
        <w:snapToGrid w:val="0"/>
        <w:spacing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重要内容提示：</w:t>
      </w:r>
    </w:p>
    <w:p w:rsidR="00716994" w:rsidRPr="000E6962" w:rsidRDefault="00434768" w:rsidP="000E6962">
      <w:pPr>
        <w:pStyle w:val="a"/>
        <w:rPr>
          <w:rFonts w:ascii="宋体" w:hAnsi="宋体"/>
          <w:sz w:val="24"/>
          <w:szCs w:val="24"/>
        </w:rPr>
      </w:pPr>
      <w:r w:rsidRPr="000E6962">
        <w:rPr>
          <w:rFonts w:hint="eastAsia"/>
          <w:sz w:val="24"/>
          <w:szCs w:val="24"/>
        </w:rPr>
        <w:t>本次国有股权无偿划转事宜不会导致公司实际控制人发生变更。</w:t>
      </w:r>
    </w:p>
    <w:p w:rsidR="00434768" w:rsidRPr="000E6962" w:rsidRDefault="00434768" w:rsidP="000E6962">
      <w:pPr>
        <w:pStyle w:val="a"/>
        <w:rPr>
          <w:sz w:val="24"/>
          <w:szCs w:val="24"/>
        </w:rPr>
      </w:pPr>
      <w:r w:rsidRPr="000E6962">
        <w:rPr>
          <w:rFonts w:hint="eastAsia"/>
          <w:sz w:val="24"/>
          <w:szCs w:val="24"/>
        </w:rPr>
        <w:t>本次国有股权无偿划转的实施将使公司控股股东由铜陵大江投资控股有限公司变更为</w:t>
      </w:r>
      <w:r w:rsidR="00CD155E" w:rsidRPr="000E6962">
        <w:rPr>
          <w:rFonts w:hint="eastAsia"/>
          <w:sz w:val="24"/>
          <w:szCs w:val="24"/>
        </w:rPr>
        <w:t>铜陵大江投资控股有限公司全资子公司</w:t>
      </w:r>
      <w:r w:rsidRPr="000E6962">
        <w:rPr>
          <w:rFonts w:hint="eastAsia"/>
          <w:sz w:val="24"/>
          <w:szCs w:val="24"/>
        </w:rPr>
        <w:t>铜陵中旭建设投资有限公司。</w:t>
      </w:r>
      <w:r w:rsidR="004B24AA" w:rsidRPr="000E6962">
        <w:rPr>
          <w:rFonts w:hint="eastAsia"/>
          <w:sz w:val="24"/>
          <w:szCs w:val="24"/>
        </w:rPr>
        <w:t>本次划转属于国有股份内部无偿划转，</w:t>
      </w:r>
      <w:r w:rsidR="00047F97" w:rsidRPr="000E6962">
        <w:rPr>
          <w:rFonts w:hint="eastAsia"/>
          <w:sz w:val="24"/>
          <w:szCs w:val="24"/>
        </w:rPr>
        <w:t>且</w:t>
      </w:r>
      <w:r w:rsidR="004B24AA" w:rsidRPr="000E6962">
        <w:rPr>
          <w:rFonts w:hint="eastAsia"/>
          <w:sz w:val="24"/>
          <w:szCs w:val="24"/>
        </w:rPr>
        <w:t>不触及要约收购。</w:t>
      </w:r>
    </w:p>
    <w:p w:rsidR="00716994" w:rsidRPr="00485AA8" w:rsidRDefault="00716994" w:rsidP="00910452">
      <w:pPr>
        <w:adjustRightInd w:val="0"/>
        <w:snapToGrid w:val="0"/>
        <w:spacing w:line="360" w:lineRule="auto"/>
        <w:ind w:firstLine="567"/>
        <w:jc w:val="both"/>
        <w:rPr>
          <w:rFonts w:ascii="宋体" w:hAnsi="宋体"/>
          <w:sz w:val="24"/>
          <w:szCs w:val="24"/>
        </w:rPr>
      </w:pPr>
    </w:p>
    <w:p w:rsidR="002B3798" w:rsidRPr="002B3798" w:rsidRDefault="005C4C59" w:rsidP="002B3798">
      <w:pPr>
        <w:adjustRightInd w:val="0"/>
        <w:snapToGrid w:val="0"/>
        <w:spacing w:line="360" w:lineRule="auto"/>
        <w:ind w:firstLineChars="200" w:firstLine="560"/>
        <w:rPr>
          <w:rFonts w:ascii="黑体" w:eastAsia="黑体" w:hAnsi="黑体"/>
          <w:sz w:val="28"/>
          <w:szCs w:val="28"/>
        </w:rPr>
      </w:pPr>
      <w:r>
        <w:rPr>
          <w:rFonts w:ascii="黑体" w:eastAsia="黑体" w:hAnsi="黑体" w:hint="eastAsia"/>
          <w:sz w:val="28"/>
          <w:szCs w:val="28"/>
        </w:rPr>
        <w:t>一、</w:t>
      </w:r>
      <w:r w:rsidR="002B3798" w:rsidRPr="002B3798">
        <w:rPr>
          <w:rFonts w:ascii="黑体" w:eastAsia="黑体" w:hAnsi="黑体" w:hint="eastAsia"/>
          <w:sz w:val="28"/>
          <w:szCs w:val="28"/>
        </w:rPr>
        <w:t>本次国有股权无偿划转的基本情况概述</w:t>
      </w:r>
    </w:p>
    <w:p w:rsidR="001A3FD7" w:rsidRDefault="002B3798" w:rsidP="00EB0D89">
      <w:pPr>
        <w:widowControl w:val="0"/>
        <w:adjustRightInd w:val="0"/>
        <w:snapToGrid w:val="0"/>
        <w:spacing w:line="360" w:lineRule="auto"/>
        <w:ind w:firstLineChars="200" w:firstLine="480"/>
        <w:jc w:val="both"/>
        <w:rPr>
          <w:sz w:val="24"/>
          <w:szCs w:val="24"/>
        </w:rPr>
      </w:pPr>
      <w:r w:rsidRPr="002B3798">
        <w:rPr>
          <w:rFonts w:ascii="宋体" w:hAnsi="宋体"/>
          <w:sz w:val="24"/>
          <w:szCs w:val="24"/>
        </w:rPr>
        <w:t xml:space="preserve"> </w:t>
      </w:r>
      <w:r w:rsidRPr="005704AA">
        <w:rPr>
          <w:sz w:val="24"/>
          <w:szCs w:val="24"/>
        </w:rPr>
        <w:t>安徽铜峰电子股份有限公司（以下简称</w:t>
      </w:r>
      <w:r w:rsidRPr="005704AA">
        <w:rPr>
          <w:sz w:val="24"/>
          <w:szCs w:val="24"/>
        </w:rPr>
        <w:t>“</w:t>
      </w:r>
      <w:r w:rsidRPr="005704AA">
        <w:rPr>
          <w:sz w:val="24"/>
          <w:szCs w:val="24"/>
        </w:rPr>
        <w:t>公司</w:t>
      </w:r>
      <w:r w:rsidRPr="005704AA">
        <w:rPr>
          <w:sz w:val="24"/>
          <w:szCs w:val="24"/>
        </w:rPr>
        <w:t>”“</w:t>
      </w:r>
      <w:r w:rsidRPr="005704AA">
        <w:rPr>
          <w:sz w:val="24"/>
          <w:szCs w:val="24"/>
        </w:rPr>
        <w:t>本公司</w:t>
      </w:r>
      <w:r w:rsidRPr="005704AA">
        <w:rPr>
          <w:sz w:val="24"/>
          <w:szCs w:val="24"/>
        </w:rPr>
        <w:t>”</w:t>
      </w:r>
      <w:r w:rsidR="00507829">
        <w:rPr>
          <w:rFonts w:hint="eastAsia"/>
          <w:sz w:val="24"/>
          <w:szCs w:val="24"/>
        </w:rPr>
        <w:t>或</w:t>
      </w:r>
      <w:r w:rsidRPr="005704AA">
        <w:rPr>
          <w:sz w:val="24"/>
          <w:szCs w:val="24"/>
        </w:rPr>
        <w:t xml:space="preserve">“ </w:t>
      </w:r>
      <w:r w:rsidRPr="005704AA">
        <w:rPr>
          <w:sz w:val="24"/>
          <w:szCs w:val="24"/>
        </w:rPr>
        <w:t>铜峰电子</w:t>
      </w:r>
      <w:r w:rsidRPr="005704AA">
        <w:rPr>
          <w:sz w:val="24"/>
          <w:szCs w:val="24"/>
        </w:rPr>
        <w:t>”</w:t>
      </w:r>
      <w:r w:rsidRPr="005704AA">
        <w:rPr>
          <w:sz w:val="24"/>
          <w:szCs w:val="24"/>
        </w:rPr>
        <w:t>）于</w:t>
      </w:r>
      <w:r w:rsidRPr="000229FD">
        <w:rPr>
          <w:sz w:val="24"/>
          <w:szCs w:val="24"/>
        </w:rPr>
        <w:t>2024</w:t>
      </w:r>
      <w:r w:rsidRPr="000229FD">
        <w:rPr>
          <w:sz w:val="24"/>
          <w:szCs w:val="24"/>
        </w:rPr>
        <w:t>年</w:t>
      </w:r>
      <w:r w:rsidR="000229FD" w:rsidRPr="000229FD">
        <w:rPr>
          <w:sz w:val="24"/>
          <w:szCs w:val="24"/>
        </w:rPr>
        <w:t>4</w:t>
      </w:r>
      <w:r w:rsidRPr="000229FD">
        <w:rPr>
          <w:sz w:val="24"/>
          <w:szCs w:val="24"/>
        </w:rPr>
        <w:t>月</w:t>
      </w:r>
      <w:r w:rsidR="000229FD" w:rsidRPr="000229FD">
        <w:rPr>
          <w:sz w:val="24"/>
          <w:szCs w:val="24"/>
        </w:rPr>
        <w:t>10</w:t>
      </w:r>
      <w:r w:rsidRPr="000229FD">
        <w:rPr>
          <w:sz w:val="24"/>
          <w:szCs w:val="24"/>
        </w:rPr>
        <w:t>日</w:t>
      </w:r>
      <w:r w:rsidRPr="00287040">
        <w:rPr>
          <w:sz w:val="24"/>
          <w:szCs w:val="24"/>
        </w:rPr>
        <w:t>收到控股股东</w:t>
      </w:r>
      <w:r w:rsidR="004B24AA" w:rsidRPr="00434768">
        <w:rPr>
          <w:rFonts w:asciiTheme="minorEastAsia" w:eastAsiaTheme="minorEastAsia" w:hAnsiTheme="minorEastAsia" w:hint="eastAsia"/>
          <w:sz w:val="24"/>
          <w:szCs w:val="24"/>
        </w:rPr>
        <w:t>铜陵大江投资控股有限公司</w:t>
      </w:r>
      <w:r w:rsidR="004B24AA">
        <w:rPr>
          <w:rFonts w:asciiTheme="minorEastAsia" w:eastAsiaTheme="minorEastAsia" w:hAnsiTheme="minorEastAsia" w:hint="eastAsia"/>
          <w:sz w:val="24"/>
          <w:szCs w:val="24"/>
        </w:rPr>
        <w:t>（以下简称“</w:t>
      </w:r>
      <w:r w:rsidR="004B24AA" w:rsidRPr="00287040">
        <w:rPr>
          <w:sz w:val="24"/>
          <w:szCs w:val="24"/>
        </w:rPr>
        <w:t>大江投资</w:t>
      </w:r>
      <w:r w:rsidR="004B24AA">
        <w:rPr>
          <w:rFonts w:asciiTheme="minorEastAsia" w:eastAsiaTheme="minorEastAsia" w:hAnsiTheme="minorEastAsia" w:hint="eastAsia"/>
          <w:sz w:val="24"/>
          <w:szCs w:val="24"/>
        </w:rPr>
        <w:t>”）</w:t>
      </w:r>
      <w:r w:rsidRPr="00287040">
        <w:rPr>
          <w:sz w:val="24"/>
          <w:szCs w:val="24"/>
        </w:rPr>
        <w:t>发来的</w:t>
      </w:r>
      <w:r w:rsidR="00EB0D89" w:rsidRPr="00287040">
        <w:rPr>
          <w:sz w:val="24"/>
          <w:szCs w:val="24"/>
        </w:rPr>
        <w:t>《关于无偿划转上市公司股份的通知》</w:t>
      </w:r>
      <w:r w:rsidR="00EB0D89" w:rsidRPr="005704AA">
        <w:rPr>
          <w:sz w:val="24"/>
          <w:szCs w:val="24"/>
        </w:rPr>
        <w:t>：</w:t>
      </w:r>
      <w:r w:rsidR="00023BE3" w:rsidRPr="00023BE3">
        <w:rPr>
          <w:rFonts w:hint="eastAsia"/>
          <w:sz w:val="24"/>
          <w:szCs w:val="24"/>
        </w:rPr>
        <w:t>大江投资股东安徽西湖投资控股集团有限公司</w:t>
      </w:r>
      <w:r w:rsidR="00545DE1">
        <w:rPr>
          <w:rFonts w:hint="eastAsia"/>
          <w:sz w:val="24"/>
          <w:szCs w:val="24"/>
        </w:rPr>
        <w:t>于</w:t>
      </w:r>
      <w:r w:rsidR="00545DE1">
        <w:rPr>
          <w:rFonts w:hint="eastAsia"/>
          <w:sz w:val="24"/>
          <w:szCs w:val="24"/>
        </w:rPr>
        <w:t>2</w:t>
      </w:r>
      <w:r w:rsidR="00545DE1">
        <w:rPr>
          <w:sz w:val="24"/>
          <w:szCs w:val="24"/>
        </w:rPr>
        <w:t>024</w:t>
      </w:r>
      <w:r w:rsidR="00545DE1">
        <w:rPr>
          <w:rFonts w:hint="eastAsia"/>
          <w:sz w:val="24"/>
          <w:szCs w:val="24"/>
        </w:rPr>
        <w:t>年</w:t>
      </w:r>
      <w:r w:rsidR="00545DE1">
        <w:rPr>
          <w:rFonts w:hint="eastAsia"/>
          <w:sz w:val="24"/>
          <w:szCs w:val="24"/>
        </w:rPr>
        <w:t>4</w:t>
      </w:r>
      <w:r w:rsidR="00545DE1">
        <w:rPr>
          <w:rFonts w:hint="eastAsia"/>
          <w:sz w:val="24"/>
          <w:szCs w:val="24"/>
        </w:rPr>
        <w:t>月</w:t>
      </w:r>
      <w:r w:rsidR="00545DE1">
        <w:rPr>
          <w:rFonts w:hint="eastAsia"/>
          <w:sz w:val="24"/>
          <w:szCs w:val="24"/>
        </w:rPr>
        <w:t>8</w:t>
      </w:r>
      <w:r w:rsidR="00545DE1">
        <w:rPr>
          <w:rFonts w:hint="eastAsia"/>
          <w:sz w:val="24"/>
          <w:szCs w:val="24"/>
        </w:rPr>
        <w:t>日</w:t>
      </w:r>
      <w:r w:rsidR="00023BE3" w:rsidRPr="00023BE3">
        <w:rPr>
          <w:rFonts w:hint="eastAsia"/>
          <w:sz w:val="24"/>
          <w:szCs w:val="24"/>
        </w:rPr>
        <w:t>做出股东决定，同意将大江投资所持铜峰电子</w:t>
      </w:r>
      <w:r w:rsidR="00023BE3" w:rsidRPr="00023BE3">
        <w:rPr>
          <w:rFonts w:hint="eastAsia"/>
          <w:sz w:val="24"/>
          <w:szCs w:val="24"/>
        </w:rPr>
        <w:t>20.44%</w:t>
      </w:r>
      <w:r w:rsidR="00023BE3" w:rsidRPr="00023BE3">
        <w:rPr>
          <w:rFonts w:hint="eastAsia"/>
          <w:sz w:val="24"/>
          <w:szCs w:val="24"/>
        </w:rPr>
        <w:t>（</w:t>
      </w:r>
      <w:r w:rsidR="00023BE3" w:rsidRPr="00023BE3">
        <w:rPr>
          <w:rFonts w:hint="eastAsia"/>
          <w:sz w:val="24"/>
          <w:szCs w:val="24"/>
        </w:rPr>
        <w:t>128,897,956</w:t>
      </w:r>
      <w:r w:rsidR="00023BE3" w:rsidRPr="00023BE3">
        <w:rPr>
          <w:rFonts w:hint="eastAsia"/>
          <w:sz w:val="24"/>
          <w:szCs w:val="24"/>
        </w:rPr>
        <w:t>股）股权无偿划转给</w:t>
      </w:r>
      <w:r w:rsidR="002D5F37" w:rsidRPr="002D5F37">
        <w:rPr>
          <w:rFonts w:hint="eastAsia"/>
          <w:sz w:val="24"/>
          <w:szCs w:val="24"/>
        </w:rPr>
        <w:t>大江投资全资子公司</w:t>
      </w:r>
      <w:r w:rsidR="00023BE3" w:rsidRPr="00023BE3">
        <w:rPr>
          <w:rFonts w:hint="eastAsia"/>
          <w:sz w:val="24"/>
          <w:szCs w:val="24"/>
        </w:rPr>
        <w:t>铜陵中旭建设投资有限公司（以下简称“中旭建设”）持有，划转基准日为</w:t>
      </w:r>
      <w:r w:rsidR="000E6962">
        <w:rPr>
          <w:rFonts w:hint="eastAsia"/>
          <w:sz w:val="24"/>
          <w:szCs w:val="24"/>
        </w:rPr>
        <w:t>2023</w:t>
      </w:r>
      <w:r w:rsidR="00023BE3" w:rsidRPr="00023BE3">
        <w:rPr>
          <w:rFonts w:hint="eastAsia"/>
          <w:sz w:val="24"/>
          <w:szCs w:val="24"/>
        </w:rPr>
        <w:t>年</w:t>
      </w:r>
      <w:r w:rsidR="00023BE3" w:rsidRPr="00023BE3">
        <w:rPr>
          <w:rFonts w:hint="eastAsia"/>
          <w:sz w:val="24"/>
          <w:szCs w:val="24"/>
        </w:rPr>
        <w:t>12</w:t>
      </w:r>
      <w:r w:rsidR="00023BE3" w:rsidRPr="00023BE3">
        <w:rPr>
          <w:rFonts w:hint="eastAsia"/>
          <w:sz w:val="24"/>
          <w:szCs w:val="24"/>
        </w:rPr>
        <w:t>月</w:t>
      </w:r>
      <w:r w:rsidR="00023BE3" w:rsidRPr="00023BE3">
        <w:rPr>
          <w:rFonts w:hint="eastAsia"/>
          <w:sz w:val="24"/>
          <w:szCs w:val="24"/>
        </w:rPr>
        <w:t>31</w:t>
      </w:r>
      <w:r w:rsidR="00023BE3" w:rsidRPr="00023BE3">
        <w:rPr>
          <w:rFonts w:hint="eastAsia"/>
          <w:sz w:val="24"/>
          <w:szCs w:val="24"/>
        </w:rPr>
        <w:t>日</w:t>
      </w:r>
      <w:r w:rsidR="001A3FD7" w:rsidRPr="001A3FD7">
        <w:rPr>
          <w:rFonts w:ascii="宋体" w:hAnsi="宋体" w:hint="eastAsia"/>
          <w:kern w:val="2"/>
          <w:sz w:val="24"/>
          <w:szCs w:val="22"/>
        </w:rPr>
        <w:t>。</w:t>
      </w:r>
    </w:p>
    <w:p w:rsidR="001A3FD7" w:rsidRDefault="00164B42" w:rsidP="00EB0D89">
      <w:pPr>
        <w:widowControl w:val="0"/>
        <w:adjustRightInd w:val="0"/>
        <w:snapToGrid w:val="0"/>
        <w:spacing w:line="360" w:lineRule="auto"/>
        <w:ind w:firstLineChars="200" w:firstLine="480"/>
        <w:jc w:val="both"/>
        <w:rPr>
          <w:sz w:val="24"/>
          <w:szCs w:val="24"/>
        </w:rPr>
      </w:pPr>
      <w:r w:rsidRPr="00164B42">
        <w:rPr>
          <w:rFonts w:hint="eastAsia"/>
          <w:sz w:val="24"/>
          <w:szCs w:val="24"/>
        </w:rPr>
        <w:t>截至本公告披露日，本次国有股权无偿划转事项尚未完成全部程序，且未签订相关协议。若本次国有股权无偿划转通过审批并完成相关程序，</w:t>
      </w:r>
      <w:r>
        <w:rPr>
          <w:rFonts w:ascii="宋体" w:hAnsi="宋体" w:hint="eastAsia"/>
          <w:kern w:val="2"/>
          <w:sz w:val="24"/>
          <w:szCs w:val="22"/>
        </w:rPr>
        <w:t>中旭建设</w:t>
      </w:r>
      <w:r w:rsidRPr="00164B42">
        <w:rPr>
          <w:rFonts w:hint="eastAsia"/>
          <w:sz w:val="24"/>
          <w:szCs w:val="24"/>
        </w:rPr>
        <w:t>将持有本公司</w:t>
      </w:r>
      <w:r w:rsidRPr="001A3FD7">
        <w:rPr>
          <w:rFonts w:ascii="宋体" w:hAnsi="宋体"/>
          <w:kern w:val="2"/>
          <w:sz w:val="24"/>
          <w:szCs w:val="22"/>
        </w:rPr>
        <w:t>128,897,956</w:t>
      </w:r>
      <w:r w:rsidRPr="00164B42">
        <w:rPr>
          <w:rFonts w:hint="eastAsia"/>
          <w:sz w:val="24"/>
          <w:szCs w:val="24"/>
        </w:rPr>
        <w:t>股股份，占公司总股本的</w:t>
      </w:r>
      <w:r w:rsidRPr="001A3FD7">
        <w:rPr>
          <w:rFonts w:ascii="宋体" w:hAnsi="宋体"/>
          <w:kern w:val="2"/>
          <w:sz w:val="24"/>
          <w:szCs w:val="22"/>
        </w:rPr>
        <w:t>20.44%</w:t>
      </w:r>
      <w:r w:rsidRPr="00164B42">
        <w:rPr>
          <w:rFonts w:hint="eastAsia"/>
          <w:sz w:val="24"/>
          <w:szCs w:val="24"/>
        </w:rPr>
        <w:t>，成为公司直接控股股东，公司的实际控制人仍为</w:t>
      </w:r>
      <w:r>
        <w:rPr>
          <w:rFonts w:hint="eastAsia"/>
          <w:sz w:val="24"/>
          <w:szCs w:val="24"/>
        </w:rPr>
        <w:t>铜陵市</w:t>
      </w:r>
      <w:r w:rsidRPr="00164B42">
        <w:rPr>
          <w:rFonts w:hint="eastAsia"/>
          <w:sz w:val="24"/>
          <w:szCs w:val="24"/>
        </w:rPr>
        <w:t>人民政府国有资产监督管理委员会（以下简称“</w:t>
      </w:r>
      <w:r>
        <w:rPr>
          <w:rFonts w:hint="eastAsia"/>
          <w:sz w:val="24"/>
          <w:szCs w:val="24"/>
        </w:rPr>
        <w:t>铜陵市</w:t>
      </w:r>
      <w:r w:rsidRPr="00164B42">
        <w:rPr>
          <w:rFonts w:hint="eastAsia"/>
          <w:sz w:val="24"/>
          <w:szCs w:val="24"/>
        </w:rPr>
        <w:t>国资委”）。公司控制权不会发生变化。</w:t>
      </w:r>
    </w:p>
    <w:p w:rsidR="00C54127" w:rsidRDefault="00C54127" w:rsidP="00C54127">
      <w:pPr>
        <w:pStyle w:val="Default"/>
      </w:pPr>
    </w:p>
    <w:p w:rsidR="00C54127" w:rsidRPr="00C54127" w:rsidRDefault="00C54127" w:rsidP="00C54127">
      <w:pPr>
        <w:adjustRightInd w:val="0"/>
        <w:snapToGrid w:val="0"/>
        <w:spacing w:line="360" w:lineRule="auto"/>
        <w:ind w:firstLineChars="200" w:firstLine="560"/>
        <w:rPr>
          <w:rFonts w:ascii="黑体" w:eastAsia="黑体" w:hAnsi="黑体"/>
          <w:sz w:val="28"/>
          <w:szCs w:val="28"/>
        </w:rPr>
      </w:pPr>
      <w:r w:rsidRPr="00C54127">
        <w:rPr>
          <w:rFonts w:ascii="黑体" w:eastAsia="黑体" w:hAnsi="黑体"/>
          <w:sz w:val="28"/>
          <w:szCs w:val="28"/>
        </w:rPr>
        <w:t xml:space="preserve"> </w:t>
      </w:r>
      <w:r w:rsidRPr="00C54127">
        <w:rPr>
          <w:rFonts w:ascii="黑体" w:eastAsia="黑体" w:hAnsi="黑体" w:hint="eastAsia"/>
          <w:sz w:val="28"/>
          <w:szCs w:val="28"/>
        </w:rPr>
        <w:t>二、本次国有股权划转对公司股权结构的影响</w:t>
      </w:r>
      <w:r w:rsidRPr="00C54127">
        <w:rPr>
          <w:rFonts w:ascii="黑体" w:eastAsia="黑体" w:hAnsi="黑体"/>
          <w:sz w:val="28"/>
          <w:szCs w:val="28"/>
        </w:rPr>
        <w:t xml:space="preserve"> </w:t>
      </w:r>
    </w:p>
    <w:p w:rsidR="002B3798" w:rsidRDefault="00C54127" w:rsidP="00C54127">
      <w:pPr>
        <w:widowControl w:val="0"/>
        <w:adjustRightInd w:val="0"/>
        <w:snapToGrid w:val="0"/>
        <w:spacing w:line="360" w:lineRule="auto"/>
        <w:ind w:firstLineChars="200" w:firstLine="480"/>
        <w:jc w:val="both"/>
        <w:rPr>
          <w:rFonts w:ascii="宋体" w:hAnsi="宋体"/>
          <w:sz w:val="24"/>
          <w:szCs w:val="24"/>
        </w:rPr>
      </w:pPr>
      <w:r w:rsidRPr="00C54127">
        <w:rPr>
          <w:rFonts w:ascii="宋体" w:hAnsi="宋体" w:hint="eastAsia"/>
          <w:sz w:val="24"/>
          <w:szCs w:val="24"/>
        </w:rPr>
        <w:lastRenderedPageBreak/>
        <w:t>（一）本次国有股权无偿划转前，本公司与控股股东及实际控制人的股权结构图如下：</w:t>
      </w:r>
    </w:p>
    <w:p w:rsidR="002B3798" w:rsidRPr="00C54127" w:rsidRDefault="001328AC" w:rsidP="001328AC">
      <w:pPr>
        <w:widowControl w:val="0"/>
        <w:adjustRightInd w:val="0"/>
        <w:snapToGrid w:val="0"/>
        <w:spacing w:line="360" w:lineRule="auto"/>
        <w:ind w:firstLineChars="200" w:firstLine="400"/>
        <w:jc w:val="center"/>
        <w:rPr>
          <w:rFonts w:ascii="宋体" w:hAnsi="宋体"/>
          <w:sz w:val="24"/>
          <w:szCs w:val="24"/>
        </w:rPr>
      </w:pPr>
      <w:r>
        <w:rPr>
          <w:noProof/>
        </w:rPr>
        <w:drawing>
          <wp:inline distT="0" distB="0" distL="0" distR="0" wp14:anchorId="3F7922A8" wp14:editId="63BF5E5B">
            <wp:extent cx="2731995" cy="2693963"/>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764244" cy="2725763"/>
                    </a:xfrm>
                    <a:prstGeom prst="rect">
                      <a:avLst/>
                    </a:prstGeom>
                  </pic:spPr>
                </pic:pic>
              </a:graphicData>
            </a:graphic>
          </wp:inline>
        </w:drawing>
      </w:r>
    </w:p>
    <w:p w:rsidR="002B3798" w:rsidRDefault="007B16D6" w:rsidP="007B16D6">
      <w:pPr>
        <w:widowControl w:val="0"/>
        <w:adjustRightInd w:val="0"/>
        <w:snapToGrid w:val="0"/>
        <w:spacing w:line="360" w:lineRule="auto"/>
        <w:ind w:firstLineChars="200" w:firstLine="480"/>
        <w:jc w:val="both"/>
        <w:rPr>
          <w:rFonts w:ascii="宋体" w:hAnsi="宋体"/>
          <w:sz w:val="24"/>
          <w:szCs w:val="24"/>
        </w:rPr>
      </w:pPr>
      <w:r w:rsidRPr="007B16D6">
        <w:rPr>
          <w:rFonts w:ascii="宋体" w:hAnsi="宋体" w:hint="eastAsia"/>
          <w:sz w:val="24"/>
          <w:szCs w:val="24"/>
        </w:rPr>
        <w:t>（二）本次国有股权无偿划转后，本公司与控股股东及实际控制人的股权结构图如下：</w:t>
      </w:r>
    </w:p>
    <w:p w:rsidR="002B3798" w:rsidRPr="007B16D6" w:rsidRDefault="007B16D6" w:rsidP="007B16D6">
      <w:pPr>
        <w:widowControl w:val="0"/>
        <w:adjustRightInd w:val="0"/>
        <w:snapToGrid w:val="0"/>
        <w:spacing w:line="360" w:lineRule="auto"/>
        <w:ind w:firstLineChars="200" w:firstLine="400"/>
        <w:jc w:val="center"/>
        <w:rPr>
          <w:rFonts w:ascii="宋体" w:hAnsi="宋体"/>
          <w:sz w:val="24"/>
          <w:szCs w:val="24"/>
        </w:rPr>
      </w:pPr>
      <w:r>
        <w:rPr>
          <w:noProof/>
        </w:rPr>
        <w:drawing>
          <wp:inline distT="0" distB="0" distL="0" distR="0" wp14:anchorId="26E0E2DA" wp14:editId="44857093">
            <wp:extent cx="2773826" cy="3497711"/>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94014" cy="3523168"/>
                    </a:xfrm>
                    <a:prstGeom prst="rect">
                      <a:avLst/>
                    </a:prstGeom>
                  </pic:spPr>
                </pic:pic>
              </a:graphicData>
            </a:graphic>
          </wp:inline>
        </w:drawing>
      </w:r>
    </w:p>
    <w:p w:rsidR="00362972" w:rsidRPr="00362972" w:rsidRDefault="00362972" w:rsidP="00362972">
      <w:pPr>
        <w:adjustRightInd w:val="0"/>
        <w:snapToGrid w:val="0"/>
        <w:spacing w:line="360" w:lineRule="auto"/>
        <w:ind w:firstLineChars="200" w:firstLine="560"/>
        <w:rPr>
          <w:rFonts w:ascii="黑体" w:eastAsia="黑体" w:hAnsi="黑体"/>
          <w:sz w:val="28"/>
          <w:szCs w:val="28"/>
        </w:rPr>
      </w:pPr>
      <w:r w:rsidRPr="00362972">
        <w:rPr>
          <w:rFonts w:ascii="黑体" w:eastAsia="黑体" w:hAnsi="黑体" w:hint="eastAsia"/>
          <w:sz w:val="28"/>
          <w:szCs w:val="28"/>
        </w:rPr>
        <w:t>三、本次划转双方的基本情况</w:t>
      </w:r>
      <w:r w:rsidRPr="00362972">
        <w:rPr>
          <w:rFonts w:ascii="黑体" w:eastAsia="黑体" w:hAnsi="黑体"/>
          <w:sz w:val="28"/>
          <w:szCs w:val="28"/>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（一）划出方</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公司名称：</w:t>
      </w:r>
      <w:r w:rsidR="00ED28B5" w:rsidRPr="002B4EC5">
        <w:rPr>
          <w:rFonts w:ascii="宋体" w:hAnsi="宋体" w:hint="eastAsia"/>
          <w:sz w:val="24"/>
          <w:szCs w:val="24"/>
        </w:rPr>
        <w:t>铜陵大江投资控股有限公司</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注册地：</w:t>
      </w:r>
      <w:r w:rsidR="00ED28B5" w:rsidRPr="002B4EC5">
        <w:rPr>
          <w:rFonts w:ascii="宋体" w:hAnsi="宋体" w:hint="eastAsia"/>
          <w:sz w:val="24"/>
          <w:szCs w:val="24"/>
        </w:rPr>
        <w:t>安徽省铜陵市翠湖二路西段</w:t>
      </w:r>
      <w:r w:rsidR="00ED28B5" w:rsidRPr="002B4EC5">
        <w:rPr>
          <w:rFonts w:ascii="宋体" w:hAnsi="宋体"/>
          <w:sz w:val="24"/>
          <w:szCs w:val="24"/>
        </w:rPr>
        <w:t>1258</w:t>
      </w:r>
      <w:r w:rsidR="00ED28B5" w:rsidRPr="002B4EC5">
        <w:rPr>
          <w:rFonts w:ascii="宋体" w:hAnsi="宋体" w:hint="eastAsia"/>
          <w:sz w:val="24"/>
          <w:szCs w:val="24"/>
        </w:rPr>
        <w:t>号</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lastRenderedPageBreak/>
        <w:t>法定代表人：</w:t>
      </w:r>
      <w:r w:rsidR="00ED28B5" w:rsidRPr="002B4EC5">
        <w:rPr>
          <w:rFonts w:ascii="宋体" w:hAnsi="宋体" w:hint="eastAsia"/>
          <w:sz w:val="24"/>
          <w:szCs w:val="24"/>
        </w:rPr>
        <w:t>刘奇</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注册资本：</w:t>
      </w:r>
      <w:r w:rsidR="00ED28B5" w:rsidRPr="002B4EC5">
        <w:rPr>
          <w:rFonts w:ascii="宋体" w:hAnsi="宋体"/>
          <w:sz w:val="24"/>
          <w:szCs w:val="24"/>
        </w:rPr>
        <w:t>200000.000000万人民币</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统一社会信用代码：</w:t>
      </w:r>
      <w:r w:rsidR="00ED28B5" w:rsidRPr="002B4EC5">
        <w:rPr>
          <w:rFonts w:ascii="宋体" w:hAnsi="宋体"/>
          <w:sz w:val="24"/>
          <w:szCs w:val="24"/>
        </w:rPr>
        <w:t>91340700705094254A</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公司类型：</w:t>
      </w:r>
      <w:r w:rsidR="00ED28B5" w:rsidRPr="002B4EC5">
        <w:rPr>
          <w:rFonts w:ascii="宋体" w:hAnsi="宋体" w:hint="eastAsia"/>
          <w:sz w:val="24"/>
          <w:szCs w:val="24"/>
        </w:rPr>
        <w:t>有限责任公司（非自然人投资或控股的法人独资）</w:t>
      </w:r>
      <w:r w:rsidRPr="00362972">
        <w:rPr>
          <w:rFonts w:ascii="宋体" w:hAnsi="宋体"/>
          <w:sz w:val="24"/>
          <w:szCs w:val="24"/>
        </w:rPr>
        <w:t xml:space="preserve"> </w:t>
      </w:r>
    </w:p>
    <w:p w:rsidR="00C54127"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经营范围：</w:t>
      </w:r>
      <w:r w:rsidR="00ED28B5" w:rsidRPr="002B4EC5">
        <w:rPr>
          <w:rFonts w:ascii="宋体" w:hAnsi="宋体" w:hint="eastAsia"/>
          <w:sz w:val="24"/>
          <w:szCs w:val="24"/>
        </w:rPr>
        <w:t>产业投资，新城区土地开发，基础设施建设和城市道路建设投资，房地产开发及销售，建筑材料采购与销售，房屋出租，信息服务。（经营范围中涉及资质的均凭有效资质证书经营）</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（二）划入方</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公司名称：</w:t>
      </w:r>
      <w:r w:rsidR="00ED28B5" w:rsidRPr="002B4EC5">
        <w:rPr>
          <w:rFonts w:ascii="宋体" w:hAnsi="宋体" w:hint="eastAsia"/>
          <w:sz w:val="24"/>
          <w:szCs w:val="24"/>
        </w:rPr>
        <w:t>铜陵中旭建设投资有限公司</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注册地：</w:t>
      </w:r>
      <w:r w:rsidR="00ED28B5" w:rsidRPr="002B4EC5">
        <w:rPr>
          <w:rFonts w:ascii="宋体" w:hAnsi="宋体" w:hint="eastAsia"/>
          <w:sz w:val="24"/>
          <w:szCs w:val="24"/>
        </w:rPr>
        <w:t>安徽省铜陵市翠湖二路西段1258号</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法定代表人：</w:t>
      </w:r>
      <w:r w:rsidR="00ED28B5" w:rsidRPr="002B4EC5">
        <w:rPr>
          <w:rFonts w:ascii="宋体" w:hAnsi="宋体" w:hint="eastAsia"/>
          <w:sz w:val="24"/>
          <w:szCs w:val="24"/>
        </w:rPr>
        <w:t>刘奇</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注册资本：</w:t>
      </w:r>
      <w:r w:rsidR="00ED28B5" w:rsidRPr="002B4EC5">
        <w:rPr>
          <w:rFonts w:ascii="宋体" w:hAnsi="宋体" w:hint="eastAsia"/>
          <w:sz w:val="24"/>
          <w:szCs w:val="24"/>
        </w:rPr>
        <w:t>5000.000000万人民币</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统一社会信用代码：</w:t>
      </w:r>
      <w:r w:rsidR="00ED28B5" w:rsidRPr="002B4EC5">
        <w:rPr>
          <w:rFonts w:ascii="宋体" w:hAnsi="宋体"/>
          <w:sz w:val="24"/>
          <w:szCs w:val="24"/>
        </w:rPr>
        <w:t>91340700MA2UQ4U60P</w:t>
      </w:r>
      <w:r w:rsidR="00ED28B5">
        <w:rPr>
          <w:rFonts w:ascii="宋体" w:hAnsi="宋体"/>
          <w:sz w:val="24"/>
          <w:szCs w:val="24"/>
        </w:rPr>
        <w:t xml:space="preserve"> </w:t>
      </w:r>
      <w:r w:rsidRPr="00362972">
        <w:rPr>
          <w:rFonts w:ascii="宋体" w:hAnsi="宋体"/>
          <w:sz w:val="24"/>
          <w:szCs w:val="24"/>
        </w:rPr>
        <w:t xml:space="preserve"> </w:t>
      </w:r>
    </w:p>
    <w:p w:rsidR="00362972" w:rsidRPr="00362972"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公司类型：</w:t>
      </w:r>
      <w:r w:rsidR="00ED28B5" w:rsidRPr="002B4EC5">
        <w:rPr>
          <w:rFonts w:ascii="宋体" w:hAnsi="宋体" w:hint="eastAsia"/>
          <w:sz w:val="24"/>
          <w:szCs w:val="24"/>
        </w:rPr>
        <w:t>有限责任公司（非自然人投资或控股的法人独资）</w:t>
      </w:r>
      <w:r w:rsidRPr="00362972">
        <w:rPr>
          <w:rFonts w:ascii="宋体" w:hAnsi="宋体"/>
          <w:sz w:val="24"/>
          <w:szCs w:val="24"/>
        </w:rPr>
        <w:t xml:space="preserve"> </w:t>
      </w:r>
    </w:p>
    <w:p w:rsidR="00C54127" w:rsidRDefault="00362972" w:rsidP="00362972">
      <w:pPr>
        <w:widowControl w:val="0"/>
        <w:adjustRightInd w:val="0"/>
        <w:snapToGrid w:val="0"/>
        <w:spacing w:line="360" w:lineRule="auto"/>
        <w:ind w:firstLineChars="200" w:firstLine="480"/>
        <w:jc w:val="both"/>
        <w:rPr>
          <w:rFonts w:ascii="宋体" w:hAnsi="宋体"/>
          <w:sz w:val="24"/>
          <w:szCs w:val="24"/>
        </w:rPr>
      </w:pPr>
      <w:r w:rsidRPr="00362972">
        <w:rPr>
          <w:rFonts w:ascii="宋体" w:hAnsi="宋体" w:hint="eastAsia"/>
          <w:sz w:val="24"/>
          <w:szCs w:val="24"/>
        </w:rPr>
        <w:t>经营范围：</w:t>
      </w:r>
      <w:r w:rsidR="00ED28B5" w:rsidRPr="002B4EC5">
        <w:rPr>
          <w:rFonts w:ascii="宋体" w:hAnsi="宋体" w:hint="eastAsia"/>
          <w:sz w:val="24"/>
          <w:szCs w:val="24"/>
        </w:rPr>
        <w:t>基础设施建设，市政公用事业投资、建设、经营，授权国有资产的经营、管理、处置，政府投资项目代建，建筑工程建设管理，土地收储前期开发，旅游景区开发及经营，园林景观建设和养护，组织文化艺术、体育、商务、会议专项活动，企业重组、收购、兼并服务及咨询。（依法须经批准的项目，经相关部门批准后方可开展经营活动）</w:t>
      </w:r>
    </w:p>
    <w:p w:rsidR="00C54127" w:rsidRPr="00CF0F03" w:rsidRDefault="002B4EC5" w:rsidP="00CF0F03">
      <w:pPr>
        <w:adjustRightInd w:val="0"/>
        <w:snapToGrid w:val="0"/>
        <w:spacing w:line="360" w:lineRule="auto"/>
        <w:ind w:firstLineChars="200" w:firstLine="560"/>
        <w:rPr>
          <w:rFonts w:ascii="黑体" w:eastAsia="黑体" w:hAnsi="黑体"/>
          <w:sz w:val="28"/>
          <w:szCs w:val="28"/>
        </w:rPr>
      </w:pPr>
      <w:r w:rsidRPr="00CF0F03">
        <w:rPr>
          <w:rFonts w:ascii="黑体" w:eastAsia="黑体" w:hAnsi="黑体" w:hint="eastAsia"/>
          <w:sz w:val="28"/>
          <w:szCs w:val="28"/>
        </w:rPr>
        <w:t>四、本次国有股权无偿划转所涉及后续事项及风险提示</w:t>
      </w:r>
    </w:p>
    <w:p w:rsidR="002B4EC5" w:rsidRPr="00CF0F03" w:rsidRDefault="002B4EC5" w:rsidP="00CF0F03">
      <w:pPr>
        <w:widowControl w:val="0"/>
        <w:adjustRightInd w:val="0"/>
        <w:snapToGrid w:val="0"/>
        <w:spacing w:line="360" w:lineRule="auto"/>
        <w:ind w:firstLineChars="200" w:firstLine="480"/>
        <w:jc w:val="both"/>
        <w:rPr>
          <w:rFonts w:ascii="宋体" w:hAnsi="宋体"/>
          <w:sz w:val="24"/>
          <w:szCs w:val="24"/>
        </w:rPr>
      </w:pPr>
      <w:r w:rsidRPr="00CF0F03">
        <w:rPr>
          <w:rFonts w:ascii="宋体" w:hAnsi="宋体" w:hint="eastAsia"/>
          <w:sz w:val="24"/>
          <w:szCs w:val="24"/>
        </w:rPr>
        <w:t>（一）本次国有股权无偿划转事项的实施将不会导致公司实际控制人发生变化，公司的实际控制人仍为</w:t>
      </w:r>
      <w:r w:rsidR="00C271DB">
        <w:rPr>
          <w:rFonts w:ascii="宋体" w:hAnsi="宋体" w:hint="eastAsia"/>
          <w:sz w:val="24"/>
          <w:szCs w:val="24"/>
        </w:rPr>
        <w:t>铜陵市</w:t>
      </w:r>
      <w:r w:rsidRPr="00CF0F03">
        <w:rPr>
          <w:rFonts w:ascii="宋体" w:hAnsi="宋体" w:hint="eastAsia"/>
          <w:sz w:val="24"/>
          <w:szCs w:val="24"/>
        </w:rPr>
        <w:t>国资委。</w:t>
      </w:r>
      <w:r w:rsidRPr="00CF0F03">
        <w:rPr>
          <w:rFonts w:ascii="宋体" w:hAnsi="宋体"/>
          <w:sz w:val="24"/>
          <w:szCs w:val="24"/>
        </w:rPr>
        <w:t xml:space="preserve"> </w:t>
      </w:r>
    </w:p>
    <w:p w:rsidR="00164B42" w:rsidRDefault="002B4EC5" w:rsidP="00CF0F03">
      <w:pPr>
        <w:widowControl w:val="0"/>
        <w:adjustRightInd w:val="0"/>
        <w:snapToGrid w:val="0"/>
        <w:spacing w:line="360" w:lineRule="auto"/>
        <w:ind w:firstLineChars="200" w:firstLine="480"/>
        <w:jc w:val="both"/>
        <w:rPr>
          <w:rFonts w:ascii="宋体" w:hAnsi="宋体"/>
          <w:sz w:val="24"/>
          <w:szCs w:val="24"/>
        </w:rPr>
      </w:pPr>
      <w:r w:rsidRPr="00CF0F03">
        <w:rPr>
          <w:rFonts w:ascii="宋体" w:hAnsi="宋体" w:hint="eastAsia"/>
          <w:sz w:val="24"/>
          <w:szCs w:val="24"/>
        </w:rPr>
        <w:t>（二）</w:t>
      </w:r>
      <w:r w:rsidR="00164B42" w:rsidRPr="00164B42">
        <w:rPr>
          <w:rFonts w:ascii="宋体" w:hAnsi="宋体" w:hint="eastAsia"/>
          <w:sz w:val="24"/>
          <w:szCs w:val="24"/>
        </w:rPr>
        <w:t>本次国有股权无偿划转事项尚需有权国家出资企业批复，是否实施完成尚存在不确定性，公司将密切关注本次国有股权无偿划转事宜的进展情况，并按照相关法律法规的规定及时履行信息披露义务，敬请广大投资者理性投资，注意投资风险。</w:t>
      </w:r>
    </w:p>
    <w:p w:rsidR="00716994" w:rsidRDefault="005C4C59">
      <w:pPr>
        <w:adjustRightInd w:val="0"/>
        <w:snapToGrid w:val="0"/>
        <w:spacing w:line="360" w:lineRule="auto"/>
        <w:ind w:firstLineChars="200" w:firstLine="480"/>
        <w:rPr>
          <w:rFonts w:ascii="宋体" w:hAnsi="宋体"/>
          <w:sz w:val="24"/>
          <w:szCs w:val="24"/>
        </w:rPr>
      </w:pPr>
      <w:r>
        <w:rPr>
          <w:rFonts w:ascii="宋体" w:hAnsi="宋体"/>
          <w:sz w:val="24"/>
          <w:szCs w:val="24"/>
        </w:rPr>
        <w:t>特此公告。</w:t>
      </w:r>
      <w:bookmarkStart w:id="0" w:name="_GoBack"/>
      <w:bookmarkEnd w:id="0"/>
    </w:p>
    <w:p w:rsidR="00716994" w:rsidRDefault="00716994">
      <w:pPr>
        <w:adjustRightInd w:val="0"/>
        <w:snapToGrid w:val="0"/>
        <w:spacing w:line="360" w:lineRule="auto"/>
        <w:ind w:firstLineChars="200" w:firstLine="480"/>
        <w:rPr>
          <w:rFonts w:ascii="宋体" w:hAnsi="宋体"/>
          <w:sz w:val="24"/>
          <w:szCs w:val="24"/>
        </w:rPr>
      </w:pPr>
    </w:p>
    <w:p w:rsidR="00716994" w:rsidRDefault="005C4C59">
      <w:pPr>
        <w:adjustRightInd w:val="0"/>
        <w:snapToGrid w:val="0"/>
        <w:spacing w:line="360" w:lineRule="auto"/>
        <w:ind w:firstLineChars="200" w:firstLine="480"/>
        <w:rPr>
          <w:rFonts w:ascii="宋体" w:hAnsi="宋体"/>
          <w:sz w:val="24"/>
          <w:szCs w:val="24"/>
        </w:rPr>
      </w:pPr>
      <w:r>
        <w:rPr>
          <w:rFonts w:ascii="宋体" w:hAnsi="宋体" w:hint="eastAsia"/>
          <w:sz w:val="24"/>
          <w:szCs w:val="24"/>
        </w:rPr>
        <w:t xml:space="preserve">                                 安徽铜峰电子股份有限公司董事会</w:t>
      </w:r>
    </w:p>
    <w:p w:rsidR="00716994" w:rsidRPr="004620D3" w:rsidRDefault="005C4C59" w:rsidP="004620D3">
      <w:pPr>
        <w:adjustRightInd w:val="0"/>
        <w:snapToGrid w:val="0"/>
        <w:spacing w:line="360" w:lineRule="auto"/>
        <w:ind w:firstLineChars="200" w:firstLine="480"/>
      </w:pPr>
      <w:r>
        <w:rPr>
          <w:rFonts w:ascii="宋体" w:hAnsi="宋体" w:hint="eastAsia"/>
          <w:sz w:val="24"/>
          <w:szCs w:val="24"/>
        </w:rPr>
        <w:t xml:space="preserve">                                          202</w:t>
      </w:r>
      <w:r w:rsidR="00660FC6">
        <w:rPr>
          <w:rFonts w:ascii="宋体" w:hAnsi="宋体"/>
          <w:sz w:val="24"/>
          <w:szCs w:val="24"/>
        </w:rPr>
        <w:t>4</w:t>
      </w:r>
      <w:r>
        <w:rPr>
          <w:rFonts w:ascii="宋体" w:hAnsi="宋体" w:hint="eastAsia"/>
          <w:sz w:val="24"/>
          <w:szCs w:val="24"/>
        </w:rPr>
        <w:t>年</w:t>
      </w:r>
      <w:r w:rsidR="00647D66">
        <w:rPr>
          <w:rFonts w:ascii="宋体" w:hAnsi="宋体"/>
          <w:sz w:val="24"/>
          <w:szCs w:val="24"/>
        </w:rPr>
        <w:t>4</w:t>
      </w:r>
      <w:r>
        <w:rPr>
          <w:rFonts w:ascii="宋体" w:hAnsi="宋体" w:hint="eastAsia"/>
          <w:sz w:val="24"/>
          <w:szCs w:val="24"/>
        </w:rPr>
        <w:t>月</w:t>
      </w:r>
      <w:r w:rsidR="00647D66">
        <w:rPr>
          <w:rFonts w:ascii="宋体" w:hAnsi="宋体"/>
          <w:sz w:val="24"/>
          <w:szCs w:val="24"/>
        </w:rPr>
        <w:t>11</w:t>
      </w:r>
      <w:r>
        <w:rPr>
          <w:rFonts w:ascii="宋体" w:hAnsi="宋体" w:hint="eastAsia"/>
          <w:sz w:val="24"/>
          <w:szCs w:val="24"/>
        </w:rPr>
        <w:t>日</w:t>
      </w:r>
    </w:p>
    <w:sectPr w:rsidR="00716994" w:rsidRPr="004620D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272" w:rsidRDefault="00E21272" w:rsidP="00660FC6">
      <w:r>
        <w:separator/>
      </w:r>
    </w:p>
  </w:endnote>
  <w:endnote w:type="continuationSeparator" w:id="0">
    <w:p w:rsidR="00E21272" w:rsidRDefault="00E21272" w:rsidP="00660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829530"/>
      <w:docPartObj>
        <w:docPartGallery w:val="Page Numbers (Bottom of Page)"/>
        <w:docPartUnique/>
      </w:docPartObj>
    </w:sdtPr>
    <w:sdtContent>
      <w:p w:rsidR="00484C38" w:rsidRDefault="00484C38">
        <w:pPr>
          <w:pStyle w:val="a4"/>
          <w:jc w:val="center"/>
        </w:pPr>
        <w:r>
          <w:fldChar w:fldCharType="begin"/>
        </w:r>
        <w:r>
          <w:instrText>PAGE   \* MERGEFORMAT</w:instrText>
        </w:r>
        <w:r>
          <w:fldChar w:fldCharType="separate"/>
        </w:r>
        <w:r w:rsidRPr="00484C38">
          <w:rPr>
            <w:noProof/>
            <w:lang w:val="zh-CN"/>
          </w:rPr>
          <w:t>1</w:t>
        </w:r>
        <w:r>
          <w:fldChar w:fldCharType="end"/>
        </w:r>
      </w:p>
    </w:sdtContent>
  </w:sdt>
  <w:p w:rsidR="00484C38" w:rsidRDefault="00484C38">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272" w:rsidRDefault="00E21272" w:rsidP="00660FC6">
      <w:r>
        <w:separator/>
      </w:r>
    </w:p>
  </w:footnote>
  <w:footnote w:type="continuationSeparator" w:id="0">
    <w:p w:rsidR="00E21272" w:rsidRDefault="00E21272" w:rsidP="00660FC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B41E4A"/>
    <w:multiLevelType w:val="multilevel"/>
    <w:tmpl w:val="BAF61A22"/>
    <w:lvl w:ilvl="0">
      <w:start w:val="1"/>
      <w:numFmt w:val="bullet"/>
      <w:pStyle w:val="a"/>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0OWMzZmE1MjVlYmVkMTI3NWVhMmExZmNhNWEwOWMifQ=="/>
  </w:docVars>
  <w:rsids>
    <w:rsidRoot w:val="002E5235"/>
    <w:rsid w:val="000229FD"/>
    <w:rsid w:val="00023BE3"/>
    <w:rsid w:val="00047F97"/>
    <w:rsid w:val="00060756"/>
    <w:rsid w:val="000651E4"/>
    <w:rsid w:val="00066435"/>
    <w:rsid w:val="00066AD9"/>
    <w:rsid w:val="00096512"/>
    <w:rsid w:val="000A4458"/>
    <w:rsid w:val="000D668B"/>
    <w:rsid w:val="000E6962"/>
    <w:rsid w:val="001051C4"/>
    <w:rsid w:val="00116A43"/>
    <w:rsid w:val="001328AC"/>
    <w:rsid w:val="00132FCF"/>
    <w:rsid w:val="001478DF"/>
    <w:rsid w:val="00164B42"/>
    <w:rsid w:val="00165E51"/>
    <w:rsid w:val="001A3FD7"/>
    <w:rsid w:val="001D2CAE"/>
    <w:rsid w:val="001D2E66"/>
    <w:rsid w:val="00200CA4"/>
    <w:rsid w:val="00205CFA"/>
    <w:rsid w:val="00251970"/>
    <w:rsid w:val="00255DD2"/>
    <w:rsid w:val="00257F58"/>
    <w:rsid w:val="002615C2"/>
    <w:rsid w:val="0027579B"/>
    <w:rsid w:val="00287040"/>
    <w:rsid w:val="002A0322"/>
    <w:rsid w:val="002B3798"/>
    <w:rsid w:val="002B4EC5"/>
    <w:rsid w:val="002D5F37"/>
    <w:rsid w:val="002E5235"/>
    <w:rsid w:val="00362972"/>
    <w:rsid w:val="00387A9A"/>
    <w:rsid w:val="0039484D"/>
    <w:rsid w:val="003B4268"/>
    <w:rsid w:val="003B6B8C"/>
    <w:rsid w:val="003D6F93"/>
    <w:rsid w:val="003E32D3"/>
    <w:rsid w:val="00430C6F"/>
    <w:rsid w:val="0043138F"/>
    <w:rsid w:val="00434768"/>
    <w:rsid w:val="004469DC"/>
    <w:rsid w:val="004620D3"/>
    <w:rsid w:val="00470C0B"/>
    <w:rsid w:val="00484C38"/>
    <w:rsid w:val="00485AA8"/>
    <w:rsid w:val="004951F4"/>
    <w:rsid w:val="004B24AA"/>
    <w:rsid w:val="004B5CF1"/>
    <w:rsid w:val="00503A15"/>
    <w:rsid w:val="00507829"/>
    <w:rsid w:val="00545DE1"/>
    <w:rsid w:val="005704AA"/>
    <w:rsid w:val="00571641"/>
    <w:rsid w:val="00590640"/>
    <w:rsid w:val="005A4F35"/>
    <w:rsid w:val="005C4C59"/>
    <w:rsid w:val="005D3408"/>
    <w:rsid w:val="005E01F8"/>
    <w:rsid w:val="005E6D3D"/>
    <w:rsid w:val="005F46AA"/>
    <w:rsid w:val="00603744"/>
    <w:rsid w:val="00620907"/>
    <w:rsid w:val="00630D12"/>
    <w:rsid w:val="00631AA2"/>
    <w:rsid w:val="0063721F"/>
    <w:rsid w:val="00637BFF"/>
    <w:rsid w:val="00647D66"/>
    <w:rsid w:val="006539A7"/>
    <w:rsid w:val="00660FC6"/>
    <w:rsid w:val="00697DD6"/>
    <w:rsid w:val="006B1B62"/>
    <w:rsid w:val="006C1247"/>
    <w:rsid w:val="006C2CA5"/>
    <w:rsid w:val="006F2A5C"/>
    <w:rsid w:val="00705310"/>
    <w:rsid w:val="00716994"/>
    <w:rsid w:val="0071759A"/>
    <w:rsid w:val="00727AA0"/>
    <w:rsid w:val="00736D8A"/>
    <w:rsid w:val="00764185"/>
    <w:rsid w:val="00774580"/>
    <w:rsid w:val="00775A74"/>
    <w:rsid w:val="00776549"/>
    <w:rsid w:val="00782977"/>
    <w:rsid w:val="00796340"/>
    <w:rsid w:val="007B16D6"/>
    <w:rsid w:val="007C160A"/>
    <w:rsid w:val="007C4101"/>
    <w:rsid w:val="007C6546"/>
    <w:rsid w:val="007D6A21"/>
    <w:rsid w:val="007F1979"/>
    <w:rsid w:val="00827182"/>
    <w:rsid w:val="008320BB"/>
    <w:rsid w:val="00863913"/>
    <w:rsid w:val="008C18FE"/>
    <w:rsid w:val="008E265F"/>
    <w:rsid w:val="0090133A"/>
    <w:rsid w:val="0090714E"/>
    <w:rsid w:val="00910452"/>
    <w:rsid w:val="00932BCD"/>
    <w:rsid w:val="00933950"/>
    <w:rsid w:val="00982CF8"/>
    <w:rsid w:val="00987451"/>
    <w:rsid w:val="00994225"/>
    <w:rsid w:val="009B2BB9"/>
    <w:rsid w:val="009E49DF"/>
    <w:rsid w:val="00A15CFD"/>
    <w:rsid w:val="00A44BB6"/>
    <w:rsid w:val="00A72A90"/>
    <w:rsid w:val="00A87DAC"/>
    <w:rsid w:val="00A90EDC"/>
    <w:rsid w:val="00A926BD"/>
    <w:rsid w:val="00A96229"/>
    <w:rsid w:val="00AF1FCC"/>
    <w:rsid w:val="00B236DD"/>
    <w:rsid w:val="00B94CB2"/>
    <w:rsid w:val="00C05AEE"/>
    <w:rsid w:val="00C21F50"/>
    <w:rsid w:val="00C271DB"/>
    <w:rsid w:val="00C27D35"/>
    <w:rsid w:val="00C34C0D"/>
    <w:rsid w:val="00C40779"/>
    <w:rsid w:val="00C54127"/>
    <w:rsid w:val="00C85112"/>
    <w:rsid w:val="00CA5B58"/>
    <w:rsid w:val="00CB6B35"/>
    <w:rsid w:val="00CD155E"/>
    <w:rsid w:val="00CF0F03"/>
    <w:rsid w:val="00D1159E"/>
    <w:rsid w:val="00D278B7"/>
    <w:rsid w:val="00D62684"/>
    <w:rsid w:val="00D87A25"/>
    <w:rsid w:val="00D95F4C"/>
    <w:rsid w:val="00DA0ABD"/>
    <w:rsid w:val="00DA2BF5"/>
    <w:rsid w:val="00DC0F01"/>
    <w:rsid w:val="00DC5A6C"/>
    <w:rsid w:val="00DE67E5"/>
    <w:rsid w:val="00E21272"/>
    <w:rsid w:val="00E67F31"/>
    <w:rsid w:val="00EB0D89"/>
    <w:rsid w:val="00EB0E78"/>
    <w:rsid w:val="00EB5E3E"/>
    <w:rsid w:val="00ED28B5"/>
    <w:rsid w:val="00EF211E"/>
    <w:rsid w:val="00F022BE"/>
    <w:rsid w:val="00F460D5"/>
    <w:rsid w:val="00F54B33"/>
    <w:rsid w:val="00F57739"/>
    <w:rsid w:val="00F65332"/>
    <w:rsid w:val="00F75339"/>
    <w:rsid w:val="00F811E6"/>
    <w:rsid w:val="00F82FAB"/>
    <w:rsid w:val="00F86568"/>
    <w:rsid w:val="00F9585E"/>
    <w:rsid w:val="035A307B"/>
    <w:rsid w:val="06A91508"/>
    <w:rsid w:val="07DA22AC"/>
    <w:rsid w:val="0B065AD9"/>
    <w:rsid w:val="0CB8153E"/>
    <w:rsid w:val="101E57A1"/>
    <w:rsid w:val="112C06D3"/>
    <w:rsid w:val="1B183711"/>
    <w:rsid w:val="1B6B58C9"/>
    <w:rsid w:val="1BAD4B36"/>
    <w:rsid w:val="1D1C5248"/>
    <w:rsid w:val="1F2510A1"/>
    <w:rsid w:val="217873E8"/>
    <w:rsid w:val="21B33E1E"/>
    <w:rsid w:val="2416239C"/>
    <w:rsid w:val="25265D11"/>
    <w:rsid w:val="273B066D"/>
    <w:rsid w:val="27FE583A"/>
    <w:rsid w:val="28C81051"/>
    <w:rsid w:val="31306154"/>
    <w:rsid w:val="37586AB2"/>
    <w:rsid w:val="38990D11"/>
    <w:rsid w:val="3B657146"/>
    <w:rsid w:val="3DEE640E"/>
    <w:rsid w:val="43927C7D"/>
    <w:rsid w:val="43C91DFE"/>
    <w:rsid w:val="46AC4F69"/>
    <w:rsid w:val="49F02017"/>
    <w:rsid w:val="4BE16B97"/>
    <w:rsid w:val="506803B7"/>
    <w:rsid w:val="516E78F6"/>
    <w:rsid w:val="52856D97"/>
    <w:rsid w:val="55015179"/>
    <w:rsid w:val="59387857"/>
    <w:rsid w:val="5E9E666C"/>
    <w:rsid w:val="61884741"/>
    <w:rsid w:val="63EA3BE9"/>
    <w:rsid w:val="64D4595F"/>
    <w:rsid w:val="66403954"/>
    <w:rsid w:val="6B6F1F3F"/>
    <w:rsid w:val="6C2B6B49"/>
    <w:rsid w:val="74D2313D"/>
    <w:rsid w:val="753326F4"/>
    <w:rsid w:val="7B18031F"/>
    <w:rsid w:val="7E7D4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DD21A67-3031-40AF-9C0B-B065B5CA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autoRedefine/>
    <w:uiPriority w:val="99"/>
    <w:unhideWhenUsed/>
    <w:qFormat/>
    <w:pPr>
      <w:tabs>
        <w:tab w:val="center" w:pos="4153"/>
        <w:tab w:val="right" w:pos="8306"/>
      </w:tabs>
      <w:snapToGrid w:val="0"/>
    </w:pPr>
    <w:rPr>
      <w:sz w:val="18"/>
      <w:szCs w:val="18"/>
    </w:rPr>
  </w:style>
  <w:style w:type="paragraph" w:styleId="a6">
    <w:name w:val="header"/>
    <w:basedOn w:val="a0"/>
    <w:link w:val="a7"/>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customStyle="1" w:styleId="Default">
    <w:name w:val="Default"/>
    <w:autoRedefine/>
    <w:qFormat/>
    <w:pPr>
      <w:widowControl w:val="0"/>
      <w:autoSpaceDE w:val="0"/>
      <w:autoSpaceDN w:val="0"/>
      <w:adjustRightInd w:val="0"/>
    </w:pPr>
    <w:rPr>
      <w:rFonts w:ascii="宋体" w:hAnsiTheme="minorHAnsi" w:cs="宋体"/>
      <w:color w:val="000000"/>
      <w:sz w:val="24"/>
      <w:szCs w:val="24"/>
    </w:rPr>
  </w:style>
  <w:style w:type="character" w:customStyle="1" w:styleId="a7">
    <w:name w:val="页眉 字符"/>
    <w:basedOn w:val="a1"/>
    <w:link w:val="a6"/>
    <w:autoRedefine/>
    <w:uiPriority w:val="99"/>
    <w:qFormat/>
    <w:rPr>
      <w:rFonts w:ascii="Times New Roman" w:eastAsia="宋体" w:hAnsi="Times New Roman" w:cs="Times New Roman"/>
      <w:kern w:val="0"/>
      <w:sz w:val="18"/>
      <w:szCs w:val="18"/>
    </w:rPr>
  </w:style>
  <w:style w:type="character" w:customStyle="1" w:styleId="a5">
    <w:name w:val="页脚 字符"/>
    <w:basedOn w:val="a1"/>
    <w:link w:val="a4"/>
    <w:autoRedefine/>
    <w:uiPriority w:val="99"/>
    <w:qFormat/>
    <w:rPr>
      <w:rFonts w:ascii="Times New Roman" w:eastAsia="宋体" w:hAnsi="Times New Roman" w:cs="Times New Roman"/>
      <w:kern w:val="0"/>
      <w:sz w:val="18"/>
      <w:szCs w:val="18"/>
    </w:rPr>
  </w:style>
  <w:style w:type="paragraph" w:styleId="a">
    <w:name w:val="List Paragraph"/>
    <w:basedOn w:val="a0"/>
    <w:autoRedefine/>
    <w:uiPriority w:val="34"/>
    <w:qFormat/>
    <w:rsid w:val="000E6962"/>
    <w:pPr>
      <w:numPr>
        <w:numId w:val="1"/>
      </w:numPr>
      <w:adjustRightInd w:val="0"/>
      <w:snapToGrid w:val="0"/>
      <w:spacing w:line="360" w:lineRule="auto"/>
      <w:jc w:val="both"/>
    </w:pPr>
  </w:style>
  <w:style w:type="paragraph" w:styleId="a8">
    <w:name w:val="Balloon Text"/>
    <w:basedOn w:val="a0"/>
    <w:link w:val="a9"/>
    <w:uiPriority w:val="99"/>
    <w:semiHidden/>
    <w:unhideWhenUsed/>
    <w:rsid w:val="00485AA8"/>
    <w:rPr>
      <w:sz w:val="18"/>
      <w:szCs w:val="18"/>
    </w:rPr>
  </w:style>
  <w:style w:type="character" w:customStyle="1" w:styleId="a9">
    <w:name w:val="批注框文本 字符"/>
    <w:basedOn w:val="a1"/>
    <w:link w:val="a8"/>
    <w:uiPriority w:val="99"/>
    <w:semiHidden/>
    <w:rsid w:val="00485AA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3</Pages>
  <Words>244</Words>
  <Characters>1392</Characters>
  <Application>Microsoft Office Word</Application>
  <DocSecurity>0</DocSecurity>
  <Lines>11</Lines>
  <Paragraphs>3</Paragraphs>
  <ScaleCrop>false</ScaleCrop>
  <Company>中国微软</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李骏</dc:creator>
  <cp:lastModifiedBy>李骏</cp:lastModifiedBy>
  <cp:revision>64</cp:revision>
  <dcterms:created xsi:type="dcterms:W3CDTF">2023-09-29T02:14:00Z</dcterms:created>
  <dcterms:modified xsi:type="dcterms:W3CDTF">2024-04-10T06:51:00Z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B00ADF5455C241B89CA770AC4CF7EC48_13</vt:lpwstr>
  </property>
</Properties>
</file>