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hint="eastAsia" w:hAnsi="宋体" w:cs="宋体"/>
          <w:b/>
          <w:bCs w:val="0"/>
          <w:sz w:val="36"/>
          <w:szCs w:val="36"/>
          <w:lang w:eastAsia="zh-CN"/>
        </w:rPr>
      </w:pPr>
    </w:p>
    <w:p>
      <w:pPr>
        <w:tabs>
          <w:tab w:val="center" w:pos="4535"/>
          <w:tab w:val="left" w:pos="5670"/>
        </w:tabs>
        <w:jc w:val="center"/>
        <w:rPr>
          <w:rFonts w:ascii="宋体" w:hAnsi="宋体"/>
          <w:b/>
          <w:bCs/>
          <w:sz w:val="36"/>
          <w:szCs w:val="36"/>
        </w:rPr>
      </w:pPr>
      <w:r>
        <w:rPr>
          <w:rFonts w:hint="eastAsia" w:hAnsi="宋体" w:cs="宋体"/>
          <w:b/>
          <w:bCs w:val="0"/>
          <w:sz w:val="36"/>
          <w:szCs w:val="36"/>
          <w:lang w:eastAsia="zh-CN"/>
        </w:rPr>
        <w:t>铜峰电子电容器分公司除尘房拆除及新建设备基础工程</w:t>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4(006)</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5</w:t>
      </w:r>
      <w:r>
        <w:rPr>
          <w:rFonts w:ascii="宋体" w:hAnsi="宋体"/>
          <w:b/>
          <w:sz w:val="28"/>
          <w:szCs w:val="28"/>
        </w:rPr>
        <w:t>月</w:t>
      </w:r>
      <w:r>
        <w:rPr>
          <w:rFonts w:hint="eastAsia" w:ascii="宋体" w:hAnsi="宋体"/>
          <w:b/>
          <w:sz w:val="28"/>
          <w:szCs w:val="28"/>
          <w:lang w:val="en-US" w:eastAsia="zh-CN"/>
        </w:rPr>
        <w:t>28</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eastAsia="zh-CN"/>
        </w:rPr>
        <w:t>铜峰电子电容器分公司除尘房拆除及新建设备基础工程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：房屋及烟囱拆除、新建设备基础等详见招标清单。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singl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建筑工程施工总承包叁级及以上资质且具备有效的安全生产许可证</w:t>
      </w:r>
      <w:r>
        <w:rPr>
          <w:rFonts w:hint="eastAsia" w:ascii="MicrosoftYaHei" w:hAnsi="MicrosoftYaHei" w:eastAsia="MicrosoftYaHei" w:cs="MicrosoftYaHei"/>
          <w:i w:val="0"/>
          <w:caps w:val="0"/>
          <w:color w:val="000000"/>
          <w:spacing w:val="0"/>
          <w:sz w:val="21"/>
          <w:szCs w:val="21"/>
          <w:u w:val="single"/>
          <w:shd w:val="clear" w:fill="FFFFFF"/>
          <w:lang w:val="en-US" w:eastAsia="zh-CN"/>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360" w:lineRule="auto"/>
        <w:rPr>
          <w:rFonts w:hint="eastAsia" w:ascii="宋体" w:hAnsi="宋体" w:cs="宋体"/>
          <w:b/>
          <w:sz w:val="24"/>
        </w:rPr>
      </w:pPr>
      <w:r>
        <w:rPr>
          <w:rFonts w:hint="eastAsia" w:ascii="宋体" w:hAnsi="宋体" w:cs="宋体"/>
          <w:b/>
          <w:sz w:val="24"/>
        </w:rPr>
        <w:t>四、报价：</w:t>
      </w:r>
    </w:p>
    <w:p>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壹万</w:t>
      </w:r>
      <w:r>
        <w:rPr>
          <w:rFonts w:hint="eastAsia" w:ascii="宋体" w:hAnsi="宋体" w:eastAsia="宋体" w:cs="宋体"/>
          <w:b/>
          <w:bCs/>
          <w:szCs w:val="21"/>
        </w:rPr>
        <w:t>元（¥</w:t>
      </w:r>
      <w:r>
        <w:rPr>
          <w:rFonts w:hint="eastAsia" w:ascii="宋体" w:hAnsi="宋体" w:eastAsia="宋体" w:cs="宋体"/>
          <w:b/>
          <w:bCs/>
          <w:szCs w:val="21"/>
          <w:lang w:val="en-US" w:eastAsia="zh-CN"/>
        </w:rPr>
        <w:t>10</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w:t>
      </w:r>
      <w:bookmarkStart w:id="1" w:name="_GoBack"/>
      <w:bookmarkEnd w:id="1"/>
      <w:r>
        <w:rPr>
          <w:rFonts w:hint="eastAsia" w:ascii="宋体" w:hAnsi="宋体" w:eastAsia="宋体" w:cs="宋体"/>
          <w:szCs w:val="24"/>
          <w:lang w:val="en-US" w:eastAsia="zh-CN"/>
        </w:rPr>
        <w:t>单位在开标结束五个工作日后，退还投标保证金。</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pPr>
        <w:numPr>
          <w:ilvl w:val="0"/>
          <w:numId w:val="3"/>
        </w:numPr>
        <w:spacing w:line="360" w:lineRule="auto"/>
        <w:rPr>
          <w:rFonts w:hint="default" w:ascii="宋体" w:hAnsi="宋体" w:eastAsia="宋体" w:cs="宋体"/>
          <w:szCs w:val="24"/>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报名及领取招标文件时间：2024年5月30日-5月31日，上午9:00-11:00，下午2:00-4:00；报名地点：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6月4日1</w:t>
      </w:r>
      <w:r>
        <w:rPr>
          <w:rFonts w:hint="eastAsia" w:ascii="宋体" w:hAnsi="宋体" w:eastAsia="宋体" w:cs="宋体"/>
          <w:szCs w:val="21"/>
        </w:rPr>
        <w:t>0:00之前（指标书到达本公司时间）。</w:t>
      </w:r>
    </w:p>
    <w:p>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4</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铜峰电子电容器分公司除尘房拆除及新建设备基础工程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必须</w:t>
      </w:r>
      <w:r>
        <w:rPr>
          <w:rFonts w:hint="eastAsia" w:ascii="宋体" w:hAnsi="宋体"/>
          <w:szCs w:val="21"/>
        </w:rPr>
        <w:t>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25天（分多次施工，单次拆除及新建基础工期25日历天）</w:t>
      </w:r>
      <w:r>
        <w:rPr>
          <w:rFonts w:hint="eastAsia" w:ascii="宋体" w:hAnsi="宋体"/>
          <w:szCs w:val="21"/>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6</w:t>
      </w:r>
      <w:r>
        <w:rPr>
          <w:rFonts w:hint="eastAsia" w:ascii="宋体" w:hAnsi="宋体" w:eastAsia="宋体" w:cs="宋体"/>
          <w:szCs w:val="24"/>
        </w:rPr>
        <w:t>月</w:t>
      </w:r>
      <w:r>
        <w:rPr>
          <w:rFonts w:hint="eastAsia" w:ascii="宋体" w:hAnsi="宋体" w:eastAsia="宋体" w:cs="宋体"/>
          <w:szCs w:val="24"/>
          <w:lang w:val="en-US" w:eastAsia="zh-CN"/>
        </w:rPr>
        <w:t>3</w:t>
      </w:r>
      <w:r>
        <w:rPr>
          <w:rFonts w:hint="eastAsia" w:ascii="宋体" w:hAnsi="宋体" w:eastAsia="宋体" w:cs="宋体"/>
          <w:szCs w:val="24"/>
        </w:rPr>
        <w:t>日统一答复；</w:t>
      </w:r>
    </w:p>
    <w:p>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按实际完成产值每月支付80%工程进度款，全部工程完成验收合格后付结算总价的95%，剩余5%为质保金，质保期内无质量问题 壹年 后付清余款（从验收合格之日起）。</w:t>
      </w:r>
    </w:p>
    <w:p>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360" w:lineRule="auto"/>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9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1616"/>
        <w:gridCol w:w="3920"/>
        <w:gridCol w:w="640"/>
        <w:gridCol w:w="994"/>
        <w:gridCol w:w="954"/>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项目特征及工作内容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屋面钢筋砼拆除1</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1.拆除对象：钢筋砼屋面；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2.拆除后的建筑垃圾外运出厂外施工单位自行处置；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3.工程量为暂定量，按实结算，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4.可机械拆除，其他未尽事宜综合考虑。</w:t>
            </w:r>
          </w:p>
          <w:p>
            <w:pPr>
              <w:pStyle w:val="2"/>
              <w:ind w:left="0" w:leftChars="0" w:firstLine="0" w:firstLineChars="0"/>
              <w:jc w:val="left"/>
              <w:rPr>
                <w:rFonts w:hint="default"/>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拆除的废砼，其中20m3由建设单位安排运到场内指定地点。</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54.00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屋面钢筋砼拆除2</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w:t>
            </w:r>
            <w:r>
              <w:rPr>
                <w:rFonts w:hint="eastAsia" w:ascii="宋体" w:hAnsi="宋体" w:eastAsia="宋体" w:cs="宋体"/>
                <w:b/>
                <w:bCs/>
                <w:i w:val="0"/>
                <w:iCs w:val="0"/>
                <w:color w:val="000000"/>
                <w:kern w:val="0"/>
                <w:sz w:val="18"/>
                <w:szCs w:val="18"/>
                <w:u w:val="none"/>
                <w:lang w:val="en-US" w:eastAsia="zh-CN" w:bidi="ar"/>
              </w:rPr>
              <w:t>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1.拆除对象：钢筋砼屋面；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2.拆除后的建筑垃圾外运出厂外施工单位自行处置；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3.工程量为暂定量，按实结算，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4.厂房内部，人工拆除，其他未尽事宜综合考虑。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40.50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墙体拆除1</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1.拆除对象：砖砌体；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2.拆除后的建筑垃圾外运出厂外施工单位自行处置；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3.工程量为暂定量，按实结算，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4.可机械拆除，其他未尽事宜综合考虑。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169.34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墙体拆除2</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w:t>
            </w:r>
            <w:r>
              <w:rPr>
                <w:rFonts w:hint="eastAsia" w:ascii="宋体" w:hAnsi="宋体" w:eastAsia="宋体" w:cs="宋体"/>
                <w:b/>
                <w:bCs/>
                <w:i w:val="0"/>
                <w:iCs w:val="0"/>
                <w:color w:val="000000"/>
                <w:kern w:val="0"/>
                <w:sz w:val="18"/>
                <w:szCs w:val="18"/>
                <w:u w:val="none"/>
                <w:lang w:val="en-US" w:eastAsia="zh-CN" w:bidi="ar"/>
              </w:rPr>
              <w:t>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1.拆除对象：砖砌体；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2.拆除后的建筑垃圾外运出厂外施工单位自行处置；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3.工程量为暂定量，按实结算，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4.厂房内部，人工拆除，其他未尽事宜综合考虑。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120.96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地面拆除1</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2.拆除后的建筑垃圾外运出厂外施工单位自行处置；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3.工程量为暂定量，按实结算，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4.可机械拆除，其他未尽事宜综合考虑。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40.59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地面拆除2</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w:t>
            </w:r>
            <w:r>
              <w:rPr>
                <w:rFonts w:hint="eastAsia" w:ascii="宋体" w:hAnsi="宋体" w:eastAsia="宋体" w:cs="宋体"/>
                <w:b/>
                <w:bCs/>
                <w:i w:val="0"/>
                <w:iCs w:val="0"/>
                <w:color w:val="000000"/>
                <w:kern w:val="0"/>
                <w:sz w:val="18"/>
                <w:szCs w:val="18"/>
                <w:u w:val="none"/>
                <w:lang w:val="en-US" w:eastAsia="zh-CN" w:bidi="ar"/>
              </w:rPr>
              <w:t>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2.拆除后的建筑垃圾外运出厂外施工单位自行处置；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3.工程量为暂定量，按实结算，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4.厂房内部人工拆除，其他未尽事宜综合考虑。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27.06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门窗拆除</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部位：室内外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1.拆除对象：塑钢门；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2.拆除后的塑钢门放到建设方指定地点，堆方整齐；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14.00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8"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烟囱拆除</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1.拆除对象：钢构烟囱及配套的设备管网及支架等；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2.烟囱高度15m，投标人需自行踏勘现场；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3.拆除后的钢构件放到建设方指定地点，堆方整齐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4.不是一次性拆除全部，需分次拆除、每次拆除自行考虑吊车台班费用，其他未尽事宜综合考虑。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5.涉及吊装作业要办理吊装作业证</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7.00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雨水管更换</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1.采用Φ160UPVC管；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2.包含雨水斗安装；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119.00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土方工程</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1.土方开挖、外运；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403.20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设备基础</w:t>
            </w:r>
          </w:p>
        </w:tc>
        <w:tc>
          <w:tcPr>
            <w:tcW w:w="3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1.C25钢筋砼设备基础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2.包括模板费用（不含钢筋）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3.未尽事宜综合考虑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4.工程量暂定</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81.02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3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1.Φ12~16钢筋制安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2.工程量暂定</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3.00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4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预埋件制安</w:t>
            </w:r>
          </w:p>
        </w:tc>
        <w:tc>
          <w:tcPr>
            <w:tcW w:w="392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1.钢板300*300*12，锚筋Φ12长600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2.包括模板费用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3.未尽事宜综合考虑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4.工程量暂定</w:t>
            </w:r>
          </w:p>
        </w:tc>
        <w:tc>
          <w:tcPr>
            <w:tcW w:w="6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99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980.68 </w:t>
            </w:r>
          </w:p>
        </w:tc>
        <w:tc>
          <w:tcPr>
            <w:tcW w:w="95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39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涉及登高、吊装作业需办理登高作业证和吊装作业证，投标人自行考虑此部分费用，结算不予调整。</w:t>
            </w:r>
          </w:p>
        </w:tc>
        <w:tc>
          <w:tcPr>
            <w:tcW w:w="6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9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 </w:t>
            </w:r>
          </w:p>
        </w:tc>
        <w:tc>
          <w:tcPr>
            <w:tcW w:w="954"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预留金</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1.预留金暂定30000.00元，为本项目不可预见的项目费用；2.此项报价不得优惠，否则视为不响应招标文件，按废标处理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spacing w:line="360" w:lineRule="auto"/>
        <w:ind w:left="0" w:leftChars="0" w:firstLine="0" w:firstLineChars="0"/>
        <w:rPr>
          <w:rFonts w:hint="eastAsia"/>
          <w:sz w:val="24"/>
          <w:szCs w:val="24"/>
          <w:lang w:val="en-US" w:eastAsia="zh-CN"/>
        </w:rPr>
      </w:pPr>
      <w:r>
        <w:rPr>
          <w:rFonts w:hint="eastAsia" w:asciiTheme="minorEastAsia" w:hAnsiTheme="minorEastAsia" w:cstheme="minorEastAsia"/>
          <w:i w:val="0"/>
          <w:iCs w:val="0"/>
          <w:color w:val="auto"/>
          <w:kern w:val="0"/>
          <w:sz w:val="24"/>
          <w:szCs w:val="24"/>
          <w:u w:val="none"/>
          <w:lang w:val="en-US" w:eastAsia="zh-CN" w:bidi="ar"/>
        </w:rPr>
        <w:t>说明：单价为</w:t>
      </w:r>
      <w:r>
        <w:rPr>
          <w:rFonts w:hint="eastAsia" w:asciiTheme="minorEastAsia" w:hAnsiTheme="minorEastAsia" w:eastAsiaTheme="minorEastAsia" w:cstheme="minorEastAsia"/>
          <w:i w:val="0"/>
          <w:iCs w:val="0"/>
          <w:color w:val="auto"/>
          <w:kern w:val="0"/>
          <w:sz w:val="24"/>
          <w:szCs w:val="24"/>
          <w:u w:val="none"/>
          <w:lang w:val="en-US" w:eastAsia="zh-CN" w:bidi="ar"/>
        </w:rPr>
        <w:t>全费用综合单价（</w:t>
      </w:r>
      <w:r>
        <w:rPr>
          <w:rFonts w:hint="eastAsia" w:asciiTheme="minorEastAsia" w:hAnsiTheme="minorEastAsia" w:cstheme="minorEastAsia"/>
          <w:i w:val="0"/>
          <w:iCs w:val="0"/>
          <w:color w:val="auto"/>
          <w:kern w:val="0"/>
          <w:sz w:val="24"/>
          <w:szCs w:val="24"/>
          <w:u w:val="none"/>
          <w:lang w:val="en-US" w:eastAsia="zh-CN" w:bidi="ar"/>
        </w:rPr>
        <w:t>包括9%税率及管理费用</w:t>
      </w:r>
      <w:r>
        <w:rPr>
          <w:rFonts w:hint="eastAsia" w:asciiTheme="minorEastAsia" w:hAnsiTheme="minorEastAsia" w:eastAsiaTheme="minorEastAsia" w:cstheme="minorEastAsia"/>
          <w:i w:val="0"/>
          <w:iCs w:val="0"/>
          <w:color w:val="auto"/>
          <w:kern w:val="0"/>
          <w:sz w:val="24"/>
          <w:szCs w:val="24"/>
          <w:u w:val="none"/>
          <w:lang w:val="en-US" w:eastAsia="zh-CN" w:bidi="ar"/>
        </w:rPr>
        <w:t>）</w:t>
      </w: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B998194"/>
    <w:multiLevelType w:val="singleLevel"/>
    <w:tmpl w:val="5B998194"/>
    <w:lvl w:ilvl="0" w:tentative="0">
      <w:start w:val="2"/>
      <w:numFmt w:val="decimal"/>
      <w:lvlText w:val="%1."/>
      <w:lvlJc w:val="left"/>
      <w:pPr>
        <w:tabs>
          <w:tab w:val="left" w:pos="312"/>
        </w:tabs>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F5BAB"/>
    <w:rsid w:val="1F58270D"/>
    <w:rsid w:val="1F690DBD"/>
    <w:rsid w:val="215611BE"/>
    <w:rsid w:val="229E2B2D"/>
    <w:rsid w:val="23AD6874"/>
    <w:rsid w:val="26FF39EB"/>
    <w:rsid w:val="27A37F7A"/>
    <w:rsid w:val="29440EB4"/>
    <w:rsid w:val="2A1B0BAE"/>
    <w:rsid w:val="2BC77893"/>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40A17F44"/>
    <w:rsid w:val="41675BE3"/>
    <w:rsid w:val="416850DF"/>
    <w:rsid w:val="416D51DB"/>
    <w:rsid w:val="41751B05"/>
    <w:rsid w:val="43534C5C"/>
    <w:rsid w:val="438F1EAF"/>
    <w:rsid w:val="44862116"/>
    <w:rsid w:val="453C2754"/>
    <w:rsid w:val="461E6DF6"/>
    <w:rsid w:val="483571D2"/>
    <w:rsid w:val="4C686832"/>
    <w:rsid w:val="4CAE2DEB"/>
    <w:rsid w:val="4E6E46D1"/>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BB53150"/>
    <w:rsid w:val="6E642A80"/>
    <w:rsid w:val="711E6BE0"/>
    <w:rsid w:val="71476A42"/>
    <w:rsid w:val="719B3959"/>
    <w:rsid w:val="74B85A4C"/>
    <w:rsid w:val="758074DF"/>
    <w:rsid w:val="7623352B"/>
    <w:rsid w:val="774F679D"/>
    <w:rsid w:val="781269A6"/>
    <w:rsid w:val="79314E06"/>
    <w:rsid w:val="79FB666F"/>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3260</Words>
  <Characters>3591</Characters>
  <Lines>15</Lines>
  <Paragraphs>4</Paragraphs>
  <TotalTime>6</TotalTime>
  <ScaleCrop>false</ScaleCrop>
  <LinksUpToDate>false</LinksUpToDate>
  <CharactersWithSpaces>3968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2024-05-28T09:06:32Z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3263EF9D0ADB4C728734948320E5ED09</vt:lpwstr>
  </property>
</Properties>
</file>