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ascii="宋体" w:hAnsi="宋体"/>
          <w:b/>
          <w:bCs/>
          <w:sz w:val="36"/>
          <w:szCs w:val="36"/>
        </w:rPr>
      </w:pPr>
      <w:r>
        <w:rPr>
          <w:rFonts w:hint="eastAsia" w:hAnsi="宋体" w:cs="宋体"/>
          <w:b/>
          <w:bCs w:val="0"/>
          <w:sz w:val="36"/>
          <w:szCs w:val="36"/>
          <w:lang w:eastAsia="zh-CN"/>
        </w:rPr>
        <w:t>新能源用聚丙烯材料项目1#厂房西侧道路工程</w:t>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3(008)</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3</w:t>
      </w:r>
      <w:r>
        <w:rPr>
          <w:rFonts w:ascii="宋体" w:hAnsi="宋体"/>
          <w:b/>
          <w:sz w:val="28"/>
          <w:szCs w:val="28"/>
        </w:rPr>
        <w:t>月</w:t>
      </w:r>
      <w:r>
        <w:rPr>
          <w:rFonts w:hint="eastAsia" w:ascii="宋体" w:hAnsi="宋体"/>
          <w:b/>
          <w:sz w:val="28"/>
          <w:szCs w:val="28"/>
          <w:lang w:val="en-US" w:eastAsia="zh-CN"/>
        </w:rPr>
        <w:t>17</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rPr>
        <w:t>新能源用聚丙烯材料项目</w:t>
      </w:r>
      <w:r>
        <w:rPr>
          <w:rFonts w:hint="eastAsia" w:hAnsi="宋体" w:cs="宋体"/>
          <w:b w:val="0"/>
          <w:bCs w:val="0"/>
          <w:sz w:val="21"/>
          <w:szCs w:val="21"/>
          <w:lang w:eastAsia="zh-CN"/>
        </w:rPr>
        <w:t>1#厂房</w:t>
      </w:r>
      <w:r>
        <w:rPr>
          <w:rFonts w:hint="eastAsia" w:hAnsi="宋体" w:cs="宋体"/>
          <w:b w:val="0"/>
          <w:bCs w:val="0"/>
          <w:sz w:val="21"/>
          <w:szCs w:val="21"/>
          <w:lang w:val="en-US" w:eastAsia="zh-CN"/>
        </w:rPr>
        <w:t>西侧道路</w:t>
      </w:r>
      <w:r>
        <w:rPr>
          <w:rFonts w:hint="eastAsia" w:hAnsi="宋体" w:cs="宋体"/>
          <w:b w:val="0"/>
          <w:bCs w:val="0"/>
          <w:sz w:val="21"/>
          <w:szCs w:val="21"/>
          <w:lang w:eastAsia="zh-CN"/>
        </w:rPr>
        <w:t>工程</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：原路面破除、新建混凝土道路、道路排水等，详见招标清单。</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singl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建筑工程施工总承包叁级及以上资质</w:t>
      </w:r>
      <w:r>
        <w:rPr>
          <w:rFonts w:hint="eastAsia" w:ascii="MicrosoftYaHei" w:hAnsi="MicrosoftYaHei" w:eastAsia="MicrosoftYaHei" w:cs="MicrosoftYaHei"/>
          <w:i w:val="0"/>
          <w:caps w:val="0"/>
          <w:color w:val="000000"/>
          <w:spacing w:val="0"/>
          <w:sz w:val="21"/>
          <w:szCs w:val="21"/>
          <w:u w:val="single"/>
          <w:shd w:val="clear" w:fill="FFFFFF"/>
          <w:lang w:val="en-US" w:eastAsia="zh-CN"/>
        </w:rPr>
        <w:t>或</w:t>
      </w:r>
      <w:r>
        <w:rPr>
          <w:rFonts w:hint="eastAsia" w:ascii="MicrosoftYaHei" w:hAnsi="MicrosoftYaHei" w:eastAsia="MicrosoftYaHei" w:cs="MicrosoftYaHei"/>
          <w:i w:val="0"/>
          <w:caps w:val="0"/>
          <w:color w:val="000000"/>
          <w:spacing w:val="0"/>
          <w:sz w:val="21"/>
          <w:szCs w:val="21"/>
          <w:u w:val="single"/>
          <w:shd w:val="clear" w:fill="FFFFFF"/>
        </w:rPr>
        <w:t>市政公用工程施工总承包</w:t>
      </w:r>
      <w:r>
        <w:rPr>
          <w:rFonts w:hint="eastAsia" w:ascii="MicrosoftYaHei" w:hAnsi="MicrosoftYaHei" w:eastAsia="MicrosoftYaHei" w:cs="MicrosoftYaHei"/>
          <w:i w:val="0"/>
          <w:caps w:val="0"/>
          <w:color w:val="000000"/>
          <w:spacing w:val="0"/>
          <w:sz w:val="21"/>
          <w:szCs w:val="21"/>
          <w:u w:val="single"/>
          <w:shd w:val="clear" w:fill="FFFFFF"/>
          <w:lang w:val="en-US" w:eastAsia="zh-CN"/>
        </w:rPr>
        <w:t>三</w:t>
      </w:r>
      <w:r>
        <w:rPr>
          <w:rFonts w:hint="eastAsia" w:ascii="MicrosoftYaHei" w:hAnsi="MicrosoftYaHei" w:eastAsia="MicrosoftYaHei" w:cs="MicrosoftYaHei"/>
          <w:i w:val="0"/>
          <w:caps w:val="0"/>
          <w:color w:val="000000"/>
          <w:spacing w:val="0"/>
          <w:sz w:val="21"/>
          <w:szCs w:val="21"/>
          <w:u w:val="single"/>
          <w:shd w:val="clear" w:fill="FFFFFF"/>
        </w:rPr>
        <w:t>级</w:t>
      </w:r>
      <w:r>
        <w:rPr>
          <w:rFonts w:hint="eastAsia" w:ascii="MicrosoftYaHei" w:hAnsi="MicrosoftYaHei" w:eastAsia="MicrosoftYaHei" w:cs="MicrosoftYaHei"/>
          <w:i w:val="0"/>
          <w:caps w:val="0"/>
          <w:color w:val="000000"/>
          <w:spacing w:val="0"/>
          <w:sz w:val="21"/>
          <w:szCs w:val="21"/>
          <w:u w:val="single"/>
          <w:shd w:val="clear" w:fill="FFFFFF"/>
          <w:lang w:val="en-US" w:eastAsia="zh-CN"/>
        </w:rPr>
        <w:t>及以上资质</w:t>
      </w:r>
      <w:r>
        <w:rPr>
          <w:rFonts w:hint="eastAsia" w:ascii="MicrosoftYaHei" w:hAnsi="MicrosoftYaHei" w:eastAsia="MicrosoftYaHei" w:cs="MicrosoftYaHei"/>
          <w:i w:val="0"/>
          <w:caps w:val="0"/>
          <w:color w:val="000000"/>
          <w:spacing w:val="0"/>
          <w:sz w:val="21"/>
          <w:szCs w:val="21"/>
          <w:u w:val="single"/>
          <w:shd w:val="clear" w:fill="FFFFFF"/>
        </w:rPr>
        <w:t>且具备有效的安全生产许可证</w:t>
      </w:r>
      <w:r>
        <w:rPr>
          <w:rFonts w:hint="eastAsia" w:ascii="MicrosoftYaHei" w:hAnsi="MicrosoftYaHei" w:eastAsia="MicrosoftYaHei" w:cs="MicrosoftYaHei"/>
          <w:i w:val="0"/>
          <w:caps w:val="0"/>
          <w:color w:val="000000"/>
          <w:spacing w:val="0"/>
          <w:sz w:val="21"/>
          <w:szCs w:val="21"/>
          <w:u w:val="single"/>
          <w:shd w:val="clear" w:fill="FFFFFF"/>
          <w:lang w:val="en-US" w:eastAsia="zh-CN"/>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240" w:lineRule="auto"/>
        <w:rPr>
          <w:rFonts w:hint="eastAsia" w:ascii="宋体" w:hAnsi="宋体" w:cs="宋体"/>
          <w:b/>
          <w:sz w:val="24"/>
        </w:rPr>
      </w:pPr>
      <w:r>
        <w:rPr>
          <w:rFonts w:hint="eastAsia" w:ascii="宋体" w:hAnsi="宋体" w:cs="宋体"/>
          <w:b/>
          <w:sz w:val="24"/>
        </w:rPr>
        <w:t>四、报价：</w:t>
      </w:r>
    </w:p>
    <w:p>
      <w:pPr>
        <w:pStyle w:val="22"/>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numPr>
          <w:ilvl w:val="0"/>
          <w:numId w:val="3"/>
        </w:numPr>
        <w:spacing w:line="360" w:lineRule="auto"/>
        <w:rPr>
          <w:rFonts w:hint="eastAsia" w:ascii="Times New Roman" w:hAnsi="Times New Roman" w:eastAsia="宋体" w:cs="Times New Roman"/>
          <w:szCs w:val="24"/>
          <w:lang w:val="en-US" w:eastAsia="zh-CN"/>
        </w:rPr>
      </w:pPr>
      <w:r>
        <w:rPr>
          <w:rFonts w:hint="eastAsia" w:ascii="宋体" w:hAnsi="宋体" w:cs="宋体"/>
          <w:b/>
          <w:sz w:val="24"/>
        </w:rPr>
        <w:t>投标保证金：</w:t>
      </w:r>
      <w:r>
        <w:rPr>
          <w:rFonts w:hint="eastAsia" w:ascii="宋体" w:hAnsi="宋体" w:cs="Times New Roman"/>
          <w:szCs w:val="21"/>
        </w:rPr>
        <w:t>投标人需交纳投标保证金</w:t>
      </w:r>
      <w:r>
        <w:rPr>
          <w:rFonts w:hint="eastAsia" w:ascii="宋体" w:hAnsi="宋体" w:cs="Times New Roman"/>
          <w:szCs w:val="21"/>
          <w:lang w:val="en-US" w:eastAsia="zh-CN"/>
        </w:rPr>
        <w:t>肆仟</w:t>
      </w:r>
      <w:r>
        <w:rPr>
          <w:rFonts w:hint="eastAsia" w:ascii="宋体" w:hAnsi="宋体" w:cs="Times New Roman"/>
          <w:szCs w:val="21"/>
        </w:rPr>
        <w:t>元（</w:t>
      </w:r>
      <w:r>
        <w:rPr>
          <w:rFonts w:hint="default" w:ascii="Arial" w:hAnsi="Arial" w:cs="Arial"/>
          <w:szCs w:val="21"/>
        </w:rPr>
        <w:t>¥</w:t>
      </w:r>
      <w:r>
        <w:rPr>
          <w:rFonts w:hint="eastAsia" w:ascii="宋体" w:hAnsi="宋体" w:cs="Times New Roman"/>
          <w:szCs w:val="21"/>
          <w:lang w:val="en-US" w:eastAsia="zh-CN"/>
        </w:rPr>
        <w:t>4</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numPr>
          <w:ilvl w:val="0"/>
          <w:numId w:val="0"/>
        </w:numPr>
        <w:spacing w:line="360" w:lineRule="auto"/>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4"/>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4"/>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b/>
          <w:bCs/>
          <w:color w:val="FF0000"/>
          <w:sz w:val="28"/>
          <w:szCs w:val="28"/>
          <w:lang w:val="en-US" w:eastAsia="zh-CN"/>
        </w:rPr>
        <w:t>重要提示：本次招标采用两轮报价。第一轮报价结束后，招标人电话通知投标人第一轮报价结果并选择报价较低的前三名投标人进入第二轮报价，进入第二轮报价的投标人根据已知的第一轮结果进行二轮报价。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5"/>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报名及领取招标文件时间：2023年3月17日-3月20日，上午9:00-11:00，下午2:00-4:00；报名地点：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3</w:t>
      </w:r>
      <w:r>
        <w:rPr>
          <w:rFonts w:hint="eastAsia" w:ascii="宋体" w:hAnsi="宋体" w:cs="Times New Roman"/>
          <w:szCs w:val="21"/>
        </w:rPr>
        <w:t>年</w:t>
      </w:r>
      <w:r>
        <w:rPr>
          <w:rFonts w:hint="eastAsia" w:ascii="宋体" w:hAnsi="宋体" w:cs="Times New Roman"/>
          <w:szCs w:val="21"/>
          <w:lang w:val="en-US" w:eastAsia="zh-CN"/>
        </w:rPr>
        <w:t>3</w:t>
      </w:r>
      <w:r>
        <w:rPr>
          <w:rFonts w:hint="eastAsia" w:ascii="宋体" w:hAnsi="宋体" w:cs="Times New Roman"/>
          <w:szCs w:val="21"/>
        </w:rPr>
        <w:t>月</w:t>
      </w:r>
      <w:r>
        <w:rPr>
          <w:rFonts w:hint="eastAsia" w:ascii="宋体" w:hAnsi="宋体" w:cs="Times New Roman"/>
          <w:szCs w:val="21"/>
          <w:highlight w:val="yellow"/>
          <w:lang w:val="en-US" w:eastAsia="zh-CN"/>
        </w:rPr>
        <w:t>21</w:t>
      </w:r>
      <w:r>
        <w:rPr>
          <w:rFonts w:hint="eastAsia" w:ascii="宋体" w:hAnsi="宋体" w:cs="Times New Roman"/>
          <w:szCs w:val="21"/>
        </w:rPr>
        <w:t>日10:00之前（指标书到达本公司时间）。</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23</w:t>
      </w:r>
      <w:r>
        <w:rPr>
          <w:rFonts w:hint="eastAsia" w:ascii="宋体" w:hAnsi="宋体" w:cs="Times New Roman"/>
          <w:szCs w:val="21"/>
        </w:rPr>
        <w:t>年</w:t>
      </w:r>
      <w:r>
        <w:rPr>
          <w:rFonts w:hint="eastAsia" w:ascii="宋体" w:hAnsi="宋体" w:cs="Times New Roman"/>
          <w:szCs w:val="21"/>
          <w:lang w:val="en-US" w:eastAsia="zh-CN"/>
        </w:rPr>
        <w:t>3</w:t>
      </w:r>
      <w:r>
        <w:rPr>
          <w:rFonts w:hint="eastAsia" w:ascii="宋体" w:hAnsi="宋体" w:cs="Times New Roman"/>
          <w:szCs w:val="21"/>
        </w:rPr>
        <w:t>月</w:t>
      </w:r>
      <w:r>
        <w:rPr>
          <w:rFonts w:hint="eastAsia" w:ascii="宋体" w:hAnsi="宋体" w:cs="Times New Roman"/>
          <w:szCs w:val="21"/>
          <w:lang w:val="en-US" w:eastAsia="zh-CN"/>
        </w:rPr>
        <w:t>21</w:t>
      </w:r>
      <w:r>
        <w:rPr>
          <w:rFonts w:hint="eastAsia" w:ascii="宋体" w:hAnsi="宋体" w:cs="Times New Roman"/>
          <w:szCs w:val="21"/>
        </w:rPr>
        <w:t>日下午1</w:t>
      </w:r>
      <w:r>
        <w:rPr>
          <w:rFonts w:hint="eastAsia" w:ascii="宋体" w:hAnsi="宋体" w:cs="Times New Roman"/>
          <w:szCs w:val="21"/>
          <w:lang w:val="en-US" w:eastAsia="zh-CN"/>
        </w:rPr>
        <w:t>3</w:t>
      </w:r>
      <w:r>
        <w:rPr>
          <w:rFonts w:hint="eastAsia" w:ascii="宋体" w:hAnsi="宋体" w:cs="Times New Roman"/>
          <w:szCs w:val="21"/>
        </w:rPr>
        <w:t>:00时(北京时间)，在安徽铜峰电子股份有限公司办公楼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投标人不需要现场参加，但投标人代表需保持电话畅通，如电话联系不上投标人代表，则该投标人二轮报价和一轮报价视为相同</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6"/>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eastAsia="zh-CN"/>
        </w:rPr>
        <w:t>新能源用聚丙烯材料项目1#厂房西侧道路工程</w:t>
      </w:r>
    </w:p>
    <w:p>
      <w:pPr>
        <w:pStyle w:val="22"/>
        <w:numPr>
          <w:ilvl w:val="0"/>
          <w:numId w:val="7"/>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15天</w:t>
      </w:r>
      <w:r>
        <w:rPr>
          <w:rFonts w:hint="eastAsia" w:ascii="宋体" w:hAnsi="宋体"/>
          <w:szCs w:val="21"/>
        </w:rPr>
        <w:t>。</w:t>
      </w:r>
    </w:p>
    <w:p>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szCs w:val="21"/>
          <w:u w:val="single"/>
          <w:lang w:val="en-US" w:eastAsia="zh-CN"/>
        </w:rPr>
        <w:t>壹年</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6"/>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2"/>
        <w:numPr>
          <w:ilvl w:val="0"/>
          <w:numId w:val="8"/>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6"/>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2023</w:t>
      </w:r>
      <w:r>
        <w:rPr>
          <w:rFonts w:hint="eastAsia" w:ascii="宋体" w:hAnsi="宋体" w:eastAsia="宋体" w:cs="宋体"/>
          <w:szCs w:val="24"/>
        </w:rPr>
        <w:t>年</w:t>
      </w:r>
      <w:r>
        <w:rPr>
          <w:rFonts w:hint="eastAsia" w:ascii="宋体" w:hAnsi="宋体" w:eastAsia="宋体" w:cs="宋体"/>
          <w:szCs w:val="24"/>
          <w:lang w:val="en-US" w:eastAsia="zh-CN"/>
        </w:rPr>
        <w:t>3</w:t>
      </w:r>
      <w:r>
        <w:rPr>
          <w:rFonts w:hint="eastAsia" w:ascii="宋体" w:hAnsi="宋体" w:eastAsia="宋体" w:cs="宋体"/>
          <w:szCs w:val="24"/>
        </w:rPr>
        <w:t>月</w:t>
      </w:r>
      <w:r>
        <w:rPr>
          <w:rFonts w:hint="eastAsia" w:ascii="宋体" w:hAnsi="宋体" w:eastAsia="宋体" w:cs="宋体"/>
          <w:szCs w:val="24"/>
          <w:lang w:val="en-US" w:eastAsia="zh-CN"/>
        </w:rPr>
        <w:t>20</w:t>
      </w:r>
      <w:r>
        <w:rPr>
          <w:rFonts w:hint="eastAsia" w:ascii="宋体" w:hAnsi="宋体" w:eastAsia="宋体" w:cs="宋体"/>
          <w:szCs w:val="24"/>
        </w:rPr>
        <w:t>日统一答复；</w:t>
      </w:r>
    </w:p>
    <w:p>
      <w:pPr>
        <w:pStyle w:val="22"/>
        <w:numPr>
          <w:ilvl w:val="0"/>
          <w:numId w:val="6"/>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color w:val="FF0000"/>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color w:val="FF0000"/>
          <w:sz w:val="21"/>
          <w:szCs w:val="21"/>
          <w:lang w:val="en-US" w:eastAsia="zh-CN"/>
        </w:rPr>
        <w:t>壹</w:t>
      </w:r>
      <w:r>
        <w:rPr>
          <w:rFonts w:hint="eastAsia" w:hAnsi="宋体"/>
          <w:sz w:val="21"/>
          <w:szCs w:val="21"/>
          <w:lang w:val="en-US" w:eastAsia="zh-CN"/>
        </w:rPr>
        <w:t>份，</w:t>
      </w:r>
      <w:r>
        <w:rPr>
          <w:rFonts w:hint="eastAsia" w:hAnsi="宋体"/>
          <w:color w:val="FF0000"/>
          <w:sz w:val="21"/>
          <w:szCs w:val="21"/>
          <w:lang w:val="en-US" w:eastAsia="zh-CN"/>
        </w:rPr>
        <w:t>必须采用胶装，否则视为不响应招标要求，按废标处理</w:t>
      </w:r>
      <w:r>
        <w:rPr>
          <w:rFonts w:hint="eastAsia" w:hAnsi="宋体"/>
          <w:sz w:val="21"/>
          <w:szCs w:val="21"/>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80</w:t>
      </w:r>
      <w:r>
        <w:rPr>
          <w:rFonts w:ascii="宋体" w:hAnsi="宋体" w:cs="宋体"/>
          <w:color w:val="FF0000"/>
          <w:kern w:val="1"/>
          <w:szCs w:val="21"/>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工程结算审核结束付至结算总价95%，剩余5%为质保金，质保期内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壹年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w:t>
      </w:r>
      <w:r>
        <w:rPr>
          <w:rFonts w:hint="eastAsia" w:ascii="宋体" w:hAnsi="宋体" w:cs="宋体"/>
          <w:color w:val="FF0000"/>
          <w:kern w:val="1"/>
          <w:szCs w:val="21"/>
          <w:lang w:val="en-US" w:eastAsia="zh-CN"/>
        </w:rPr>
        <w:t>合格</w:t>
      </w:r>
      <w:r>
        <w:rPr>
          <w:rFonts w:hint="eastAsia" w:ascii="宋体" w:hAnsi="宋体" w:cs="宋体"/>
          <w:color w:val="FF0000"/>
          <w:kern w:val="1"/>
          <w:szCs w:val="21"/>
        </w:rPr>
        <w:t>之日起）。</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9"/>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9"/>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0"/>
        </w:numPr>
        <w:spacing w:line="360" w:lineRule="auto"/>
        <w:ind w:leftChars="0"/>
        <w:jc w:val="left"/>
        <w:rPr>
          <w:rFonts w:hint="eastAsia" w:hAnsi="宋体"/>
          <w:bCs/>
          <w:sz w:val="24"/>
          <w:szCs w:val="24"/>
        </w:rPr>
      </w:pP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10"/>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412"/>
        <w:gridCol w:w="4397"/>
        <w:gridCol w:w="659"/>
        <w:gridCol w:w="918"/>
        <w:gridCol w:w="919"/>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全费用综合单价（元）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机械拆除道路面层</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1.机械拆除道路面层；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2.拆除的混凝土块作为道路基层；</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824.16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道路基层碾压</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1.压路机对道路基层进行碾压至设计标高；</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石子垫层</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1.100厚碎石垫层；</w:t>
            </w:r>
            <w:bookmarkStart w:id="1" w:name="_GoBack"/>
            <w:bookmarkEnd w:id="1"/>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混凝土路面</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1.混凝土路面，C30商混；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2.厚度200;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644.00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道路模板</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1.模板200高</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路面刻痕</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1.混凝土面层 刻痕路面刻痕；</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644.00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路面养护</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1.路面养护；</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644.00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安砌混凝土侧石</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1.混凝土侧石，水泥砂浆安砌；</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348.00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侧缘石垫层</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1.侧缘石垫层采用C20商混；</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13.92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土（石）方开挖及回填</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jc w:val="left"/>
              <w:textAlignment w:val="center"/>
              <w:rPr>
                <w:rFonts w:hint="eastAsia"/>
                <w:lang w:val="en-US" w:eastAsia="zh-CN"/>
              </w:rPr>
            </w:pPr>
            <w:r>
              <w:rPr>
                <w:rFonts w:hint="eastAsia"/>
                <w:lang w:val="en-US" w:eastAsia="zh-CN"/>
              </w:rPr>
              <w:t>过路管土（石）方开挖沟槽；</w:t>
            </w:r>
          </w:p>
          <w:p>
            <w:pPr>
              <w:pStyle w:val="2"/>
              <w:numPr>
                <w:ilvl w:val="0"/>
                <w:numId w:val="11"/>
              </w:numPr>
              <w:ind w:left="0" w:leftChars="0" w:firstLine="0" w:firstLineChars="0"/>
              <w:rPr>
                <w:rFonts w:hint="default"/>
                <w:lang w:val="en-US" w:eastAsia="zh-CN"/>
              </w:rPr>
            </w:pPr>
            <w:r>
              <w:rPr>
                <w:rFonts w:hint="eastAsia" w:asciiTheme="minorHAnsi" w:hAnsiTheme="minorHAnsi" w:eastAsiaTheme="minorEastAsia" w:cstheme="minorBidi"/>
                <w:kern w:val="2"/>
                <w:sz w:val="21"/>
                <w:szCs w:val="22"/>
                <w:lang w:val="en-US" w:eastAsia="zh-CN" w:bidi="ar-SA"/>
              </w:rPr>
              <w:t>土方回填</w:t>
            </w:r>
            <w:r>
              <w:rPr>
                <w:rFonts w:hint="eastAsia" w:cstheme="minorBidi"/>
                <w:kern w:val="2"/>
                <w:sz w:val="21"/>
                <w:szCs w:val="22"/>
                <w:lang w:val="en-US" w:eastAsia="zh-CN" w:bidi="ar-SA"/>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过路排水管</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1.过路排水管安装；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2.DN200双壁波纹管；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3.沙回填保护管道，高出管道200；</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36.80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砌筑检查井</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1.砖砌检查井DN700;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2.井深分别为1.0m,1.2m,1.4m,1.6m，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3.井座井盖材质为承重型铸铁；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4.综合报价，未尽事宜参照相关图集规范做法。</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砖砌雨水口</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1.砖砌式雨水进水井；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2.单平箅680mm×380mm ~井深1.0m（铸铁平箅）</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14</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绿化带种植土</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绿化带种植土回填，均厚300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2.取土地点场内取土运输，运距300以内；</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3.种植土整平</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大型机械设备进出场</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1.机械设备名称：履带式挖掘机、压路机等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2.机械设备规格型号：投标人自定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3.投标人综合报价，结算不予调整</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预留金</w:t>
            </w:r>
          </w:p>
        </w:tc>
        <w:tc>
          <w:tcPr>
            <w:tcW w:w="4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1.预留金暂定20000.00元，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2.此项报价不得优惠，否则视为不响应招标文件，按废标处理</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76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备注：全费用综合单价为包括税金、管理费、安全文明施工费用等一切费用。</w:t>
            </w:r>
          </w:p>
        </w:tc>
      </w:tr>
    </w:tbl>
    <w:p>
      <w:pPr>
        <w:pStyle w:val="2"/>
        <w:spacing w:line="480" w:lineRule="auto"/>
        <w:ind w:left="0" w:leftChars="0" w:firstLine="0" w:firstLineChars="0"/>
        <w:rPr>
          <w:rFonts w:hint="eastAsia"/>
          <w:lang w:val="en-US" w:eastAsia="zh-CN"/>
        </w:rPr>
      </w:pPr>
    </w:p>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71ED0"/>
    <w:multiLevelType w:val="singleLevel"/>
    <w:tmpl w:val="82B71ED0"/>
    <w:lvl w:ilvl="0" w:tentative="0">
      <w:start w:val="1"/>
      <w:numFmt w:val="decimal"/>
      <w:lvlText w:val="%1."/>
      <w:lvlJc w:val="left"/>
      <w:pPr>
        <w:tabs>
          <w:tab w:val="left" w:pos="312"/>
        </w:tabs>
      </w:pPr>
    </w:lvl>
  </w:abstractNum>
  <w:abstractNum w:abstractNumId="1">
    <w:nsid w:val="8D9FD2CE"/>
    <w:multiLevelType w:val="singleLevel"/>
    <w:tmpl w:val="8D9FD2CE"/>
    <w:lvl w:ilvl="0" w:tentative="0">
      <w:start w:val="4"/>
      <w:numFmt w:val="chineseCounting"/>
      <w:suff w:val="nothing"/>
      <w:lvlText w:val="（%1）"/>
      <w:lvlJc w:val="left"/>
      <w:rPr>
        <w:rFonts w:hint="eastAsia"/>
      </w:rPr>
    </w:lvl>
  </w:abstractNum>
  <w:abstractNum w:abstractNumId="2">
    <w:nsid w:val="FB71E6EB"/>
    <w:multiLevelType w:val="singleLevel"/>
    <w:tmpl w:val="FB71E6EB"/>
    <w:lvl w:ilvl="0" w:tentative="0">
      <w:start w:val="5"/>
      <w:numFmt w:val="chineseCounting"/>
      <w:suff w:val="nothing"/>
      <w:lvlText w:val="%1、"/>
      <w:lvlJc w:val="left"/>
      <w:rPr>
        <w:rFonts w:hint="eastAsia"/>
      </w:rPr>
    </w:lvl>
  </w:abstractNum>
  <w:abstractNum w:abstractNumId="3">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92EB31"/>
    <w:multiLevelType w:val="singleLevel"/>
    <w:tmpl w:val="3A92EB31"/>
    <w:lvl w:ilvl="0" w:tentative="0">
      <w:start w:val="1"/>
      <w:numFmt w:val="decimal"/>
      <w:lvlText w:val="%1."/>
      <w:lvlJc w:val="left"/>
      <w:pPr>
        <w:tabs>
          <w:tab w:val="left" w:pos="312"/>
        </w:tabs>
      </w:pPr>
    </w:lvl>
  </w:abstractNum>
  <w:abstractNum w:abstractNumId="7">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5B998194"/>
    <w:multiLevelType w:val="singleLevel"/>
    <w:tmpl w:val="5B998194"/>
    <w:lvl w:ilvl="0" w:tentative="0">
      <w:start w:val="2"/>
      <w:numFmt w:val="decimal"/>
      <w:lvlText w:val="%1."/>
      <w:lvlJc w:val="left"/>
      <w:pPr>
        <w:tabs>
          <w:tab w:val="left" w:pos="312"/>
        </w:tabs>
      </w:pPr>
    </w:lvl>
  </w:abstractNum>
  <w:abstractNum w:abstractNumId="10">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7"/>
  </w:num>
  <w:num w:numId="2">
    <w:abstractNumId w:val="4"/>
  </w:num>
  <w:num w:numId="3">
    <w:abstractNumId w:val="2"/>
  </w:num>
  <w:num w:numId="4">
    <w:abstractNumId w:val="9"/>
  </w:num>
  <w:num w:numId="5">
    <w:abstractNumId w:val="5"/>
  </w:num>
  <w:num w:numId="6">
    <w:abstractNumId w:val="3"/>
  </w:num>
  <w:num w:numId="7">
    <w:abstractNumId w:val="8"/>
  </w:num>
  <w:num w:numId="8">
    <w:abstractNumId w:val="10"/>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9126C39"/>
    <w:rsid w:val="091C7D4D"/>
    <w:rsid w:val="09D33E39"/>
    <w:rsid w:val="0AC75917"/>
    <w:rsid w:val="0D865002"/>
    <w:rsid w:val="0D991856"/>
    <w:rsid w:val="0ED301A4"/>
    <w:rsid w:val="11590032"/>
    <w:rsid w:val="14D2689C"/>
    <w:rsid w:val="15A91713"/>
    <w:rsid w:val="16025B2B"/>
    <w:rsid w:val="161F4BB6"/>
    <w:rsid w:val="16766175"/>
    <w:rsid w:val="171A2593"/>
    <w:rsid w:val="17BF5747"/>
    <w:rsid w:val="18103A7E"/>
    <w:rsid w:val="190832C6"/>
    <w:rsid w:val="196F2AA5"/>
    <w:rsid w:val="19981FDF"/>
    <w:rsid w:val="1A9801CD"/>
    <w:rsid w:val="1ABF3529"/>
    <w:rsid w:val="1BA757DE"/>
    <w:rsid w:val="1C1E5965"/>
    <w:rsid w:val="1EFF5BAB"/>
    <w:rsid w:val="215611BE"/>
    <w:rsid w:val="23AD6874"/>
    <w:rsid w:val="26FF39EB"/>
    <w:rsid w:val="27A37F7A"/>
    <w:rsid w:val="29440EB4"/>
    <w:rsid w:val="2A1B0BAE"/>
    <w:rsid w:val="2D582B99"/>
    <w:rsid w:val="2E6518B4"/>
    <w:rsid w:val="2E9F741F"/>
    <w:rsid w:val="32135401"/>
    <w:rsid w:val="32CC1512"/>
    <w:rsid w:val="331E6208"/>
    <w:rsid w:val="33E36A43"/>
    <w:rsid w:val="33EB063B"/>
    <w:rsid w:val="34DB71DA"/>
    <w:rsid w:val="34E900E1"/>
    <w:rsid w:val="35015CF0"/>
    <w:rsid w:val="35754409"/>
    <w:rsid w:val="3602634C"/>
    <w:rsid w:val="39CA0C06"/>
    <w:rsid w:val="3BEB1C45"/>
    <w:rsid w:val="3BF42182"/>
    <w:rsid w:val="3C9541DE"/>
    <w:rsid w:val="3D4B74CB"/>
    <w:rsid w:val="3DA45527"/>
    <w:rsid w:val="40A17F44"/>
    <w:rsid w:val="41675BE3"/>
    <w:rsid w:val="416D51DB"/>
    <w:rsid w:val="41751B05"/>
    <w:rsid w:val="43534C5C"/>
    <w:rsid w:val="438F1EAF"/>
    <w:rsid w:val="44862116"/>
    <w:rsid w:val="453C2754"/>
    <w:rsid w:val="461E6DF6"/>
    <w:rsid w:val="483571D2"/>
    <w:rsid w:val="4C686832"/>
    <w:rsid w:val="4CAE2DEB"/>
    <w:rsid w:val="4F63322A"/>
    <w:rsid w:val="501E0B38"/>
    <w:rsid w:val="51094774"/>
    <w:rsid w:val="51344941"/>
    <w:rsid w:val="514432E8"/>
    <w:rsid w:val="51623B3C"/>
    <w:rsid w:val="52DE75E8"/>
    <w:rsid w:val="563B6F3C"/>
    <w:rsid w:val="57D767A0"/>
    <w:rsid w:val="588655F5"/>
    <w:rsid w:val="59383994"/>
    <w:rsid w:val="594319C7"/>
    <w:rsid w:val="59C933B9"/>
    <w:rsid w:val="5B5B66ED"/>
    <w:rsid w:val="5D595969"/>
    <w:rsid w:val="5DE47B5A"/>
    <w:rsid w:val="5E021592"/>
    <w:rsid w:val="5E753699"/>
    <w:rsid w:val="5EE84A8D"/>
    <w:rsid w:val="60187CD1"/>
    <w:rsid w:val="620D1761"/>
    <w:rsid w:val="67580D92"/>
    <w:rsid w:val="68C77980"/>
    <w:rsid w:val="691B2573"/>
    <w:rsid w:val="69DF4113"/>
    <w:rsid w:val="6B4C7908"/>
    <w:rsid w:val="6E642A80"/>
    <w:rsid w:val="711E6BE0"/>
    <w:rsid w:val="71476A42"/>
    <w:rsid w:val="719B3959"/>
    <w:rsid w:val="74B85A4C"/>
    <w:rsid w:val="7623352B"/>
    <w:rsid w:val="774F679D"/>
    <w:rsid w:val="781269A6"/>
    <w:rsid w:val="79314E06"/>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2756</Words>
  <Characters>3094</Characters>
  <Lines>15</Lines>
  <Paragraphs>4</Paragraphs>
  <TotalTime>1</TotalTime>
  <ScaleCrop>false</ScaleCrop>
  <LinksUpToDate>false</LinksUpToDate>
  <CharactersWithSpaces>3456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2023-03-16T02:59:53Z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3263EF9D0ADB4C728734948320E5ED09</vt:lpwstr>
  </property>
</Properties>
</file>