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ascii="宋体" w:hAnsi="宋体"/>
          <w:b/>
          <w:bCs/>
          <w:sz w:val="96"/>
          <w:szCs w:val="96"/>
        </w:rPr>
      </w:pPr>
      <w:r>
        <w:rPr>
          <w:rFonts w:hint="eastAsia" w:hAnsi="宋体" w:cs="宋体"/>
          <w:b/>
          <w:bCs w:val="0"/>
          <w:sz w:val="28"/>
          <w:szCs w:val="28"/>
          <w:lang w:eastAsia="zh-CN"/>
        </w:rPr>
        <w:t>安徽铜峰电子股份有限公司水电管网移位工程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3(002)</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1</w:t>
      </w:r>
      <w:r>
        <w:rPr>
          <w:rFonts w:ascii="宋体" w:hAnsi="宋体"/>
          <w:b/>
          <w:sz w:val="28"/>
          <w:szCs w:val="28"/>
        </w:rPr>
        <w:t>月</w:t>
      </w:r>
      <w:r>
        <w:rPr>
          <w:rFonts w:hint="eastAsia" w:ascii="宋体" w:hAnsi="宋体"/>
          <w:b/>
          <w:sz w:val="28"/>
          <w:szCs w:val="28"/>
          <w:lang w:val="en-US" w:eastAsia="zh-CN"/>
        </w:rPr>
        <w:t>4</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6"/>
        <w:spacing w:before="157" w:line="391" w:lineRule="auto"/>
        <w:ind w:right="697"/>
        <w:jc w:val="both"/>
        <w:rPr>
          <w:rFonts w:hint="eastAsia" w:ascii="宋体" w:hAnsi="宋体" w:cs="Times New Roman" w:eastAsiaTheme="minorEastAsia"/>
          <w:kern w:val="2"/>
          <w:sz w:val="21"/>
          <w:szCs w:val="21"/>
          <w:u w:val="single"/>
          <w:lang w:val="en-US" w:eastAsia="zh-CN" w:bidi="ar-SA"/>
        </w:rPr>
      </w:pPr>
      <w:r>
        <w:rPr>
          <w:rFonts w:hint="eastAsia" w:ascii="宋体" w:hAnsi="宋体" w:cs="Times New Roman"/>
          <w:b w:val="0"/>
          <w:bCs w:val="0"/>
          <w:sz w:val="21"/>
          <w:szCs w:val="21"/>
          <w:lang w:val="en-US" w:eastAsia="zh-CN"/>
        </w:rPr>
        <w:t>1.</w:t>
      </w:r>
      <w:r>
        <w:rPr>
          <w:rFonts w:hint="eastAsia" w:hAnsi="宋体" w:cs="宋体"/>
          <w:b w:val="0"/>
          <w:bCs w:val="0"/>
          <w:sz w:val="21"/>
          <w:szCs w:val="21"/>
          <w:lang w:val="en-US" w:eastAsia="zh-CN"/>
        </w:rPr>
        <w:t>安徽铜峰电子股份有限公司水电管网移位工程范围包括</w:t>
      </w:r>
      <w:r>
        <w:rPr>
          <w:rFonts w:hint="eastAsia" w:ascii="宋体" w:hAnsi="宋体" w:cs="Times New Roman"/>
          <w:b w:val="0"/>
          <w:bCs w:val="0"/>
          <w:sz w:val="21"/>
          <w:szCs w:val="21"/>
          <w:lang w:val="en-US" w:eastAsia="zh-CN"/>
        </w:rPr>
        <w:t>：</w:t>
      </w:r>
      <w:r>
        <w:rPr>
          <w:rFonts w:hint="eastAsia" w:ascii="宋体" w:hAnsi="宋体" w:cs="Times New Roman"/>
          <w:kern w:val="2"/>
          <w:sz w:val="21"/>
          <w:szCs w:val="21"/>
          <w:u w:val="single"/>
          <w:lang w:val="en-US" w:eastAsia="zh-CN" w:bidi="ar-SA"/>
        </w:rPr>
        <w:t>土方开挖、道路破除及恢复、安装MPP电缆管6根，Φ250承插球墨铸铁管安装，人行道板的拆除及恢复等，详见招标工程量清单</w:t>
      </w:r>
      <w:r>
        <w:rPr>
          <w:rFonts w:hint="eastAsia" w:ascii="宋体" w:hAnsi="宋体" w:cs="Times New Roman" w:eastAsiaTheme="minorEastAsia"/>
          <w:kern w:val="2"/>
          <w:sz w:val="21"/>
          <w:szCs w:val="21"/>
          <w:u w:val="none"/>
          <w:lang w:val="en-US" w:eastAsia="zh-CN" w:bidi="ar-SA"/>
        </w:rPr>
        <w:t>。</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ascii="MicrosoftYaHei" w:hAnsi="MicrosoftYaHei" w:eastAsia="MicrosoftYaHei" w:cs="MicrosoftYaHei"/>
          <w:b/>
          <w:bCs/>
          <w:i w:val="0"/>
          <w:caps w:val="0"/>
          <w:color w:val="000000"/>
          <w:spacing w:val="0"/>
          <w:sz w:val="21"/>
          <w:szCs w:val="21"/>
          <w:u w:val="none"/>
          <w:shd w:val="clear" w:color="auto" w:fill="FFFFFF"/>
        </w:rPr>
        <w:t>建筑工程施工总承包三级</w:t>
      </w:r>
      <w:r>
        <w:rPr>
          <w:rFonts w:hint="eastAsia" w:ascii="宋体" w:hAnsi="宋体" w:cs="Times New Roman"/>
          <w:b/>
          <w:bCs/>
          <w:szCs w:val="21"/>
          <w:u w:val="none"/>
          <w:lang w:val="en-US" w:eastAsia="zh-CN"/>
        </w:rPr>
        <w:t>及以上</w:t>
      </w:r>
      <w:r>
        <w:rPr>
          <w:rFonts w:hint="eastAsia" w:ascii="宋体" w:hAnsi="宋体" w:cs="Times New Roman"/>
          <w:b/>
          <w:bCs/>
          <w:szCs w:val="21"/>
          <w:lang w:val="en-US" w:eastAsia="zh-CN"/>
        </w:rPr>
        <w:t>资质</w:t>
      </w: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1</w:t>
      </w:r>
      <w:r>
        <w:rPr>
          <w:rFonts w:hint="eastAsia" w:ascii="宋体" w:hAnsi="宋体" w:cs="Times New Roman"/>
          <w:szCs w:val="21"/>
        </w:rPr>
        <w:t>万元（</w:t>
      </w:r>
      <w:r>
        <w:rPr>
          <w:rFonts w:hint="default" w:ascii="Arial" w:hAnsi="Arial" w:cs="Arial"/>
          <w:szCs w:val="21"/>
        </w:rPr>
        <w:t>¥</w:t>
      </w:r>
      <w:r>
        <w:rPr>
          <w:rFonts w:hint="eastAsia" w:ascii="宋体" w:hAnsi="宋体" w:cs="Times New Roman"/>
          <w:szCs w:val="21"/>
          <w:lang w:val="en-US" w:eastAsia="zh-CN"/>
        </w:rPr>
        <w:t>10</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3"/>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szCs w:val="24"/>
        </w:rPr>
        <w:t>本公司有权结合报价结果选择与报价较低的投标人再次议价或进行二次报价。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报名及领取招标文件时间：2023年1月4日-1月5日，上午9:00-11:00，下午2:00-4:00；报名地点：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1</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9</w:t>
      </w:r>
      <w:r>
        <w:rPr>
          <w:rFonts w:hint="eastAsia" w:ascii="宋体" w:hAnsi="宋体" w:cs="Times New Roman"/>
          <w:szCs w:val="21"/>
        </w:rPr>
        <w:t>日10:00之前（指标书到达本公司时间）。</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1</w:t>
      </w:r>
      <w:r>
        <w:rPr>
          <w:rFonts w:hint="eastAsia" w:ascii="宋体" w:hAnsi="宋体" w:cs="Times New Roman"/>
          <w:szCs w:val="21"/>
        </w:rPr>
        <w:t>月</w:t>
      </w:r>
      <w:r>
        <w:rPr>
          <w:rFonts w:hint="eastAsia" w:ascii="宋体" w:hAnsi="宋体" w:cs="Times New Roman"/>
          <w:szCs w:val="21"/>
          <w:lang w:val="en-US" w:eastAsia="zh-CN"/>
        </w:rPr>
        <w:t>9</w:t>
      </w:r>
      <w:r>
        <w:rPr>
          <w:rFonts w:hint="eastAsia" w:ascii="宋体" w:hAnsi="宋体" w:cs="Times New Roman"/>
          <w:szCs w:val="21"/>
        </w:rPr>
        <w:t>日下午1</w:t>
      </w:r>
      <w:r>
        <w:rPr>
          <w:rFonts w:hint="eastAsia" w:ascii="宋体" w:hAnsi="宋体" w:cs="Times New Roman"/>
          <w:szCs w:val="21"/>
          <w:lang w:val="en-US" w:eastAsia="zh-CN"/>
        </w:rPr>
        <w:t>5</w:t>
      </w:r>
      <w:r>
        <w:rPr>
          <w:rFonts w:hint="eastAsia" w:ascii="宋体" w:hAnsi="宋体" w:cs="Times New Roman"/>
          <w:szCs w:val="21"/>
        </w:rPr>
        <w:t>:00时(北京时间)，在安徽铜峰电子股份有限公司办公楼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hAnsi="宋体" w:cs="宋体"/>
          <w:b w:val="0"/>
          <w:bCs w:val="0"/>
          <w:sz w:val="21"/>
          <w:szCs w:val="21"/>
          <w:lang w:val="en-US" w:eastAsia="zh-CN"/>
        </w:rPr>
        <w:t>安徽铜峰电子股份有限公司水电管网移位工程；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r>
        <w:rPr>
          <w:rFonts w:hint="eastAsia" w:ascii="宋体" w:hAnsi="宋体"/>
          <w:szCs w:val="21"/>
          <w:lang w:eastAsia="zh-CN"/>
        </w:rPr>
        <w:t>；</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15天</w:t>
      </w:r>
      <w:r>
        <w:rPr>
          <w:rFonts w:hint="eastAsia" w:ascii="宋体" w:hAnsi="宋体"/>
          <w:szCs w:val="21"/>
        </w:rPr>
        <w:t>。</w:t>
      </w:r>
    </w:p>
    <w:p>
      <w:pPr>
        <w:pStyle w:val="22"/>
        <w:spacing w:line="360" w:lineRule="auto"/>
        <w:ind w:left="425" w:firstLine="0" w:firstLineChars="0"/>
        <w:rPr>
          <w:rFonts w:hint="default" w:ascii="宋体" w:hAnsi="宋体"/>
          <w:szCs w:val="21"/>
          <w:u w:val="single"/>
          <w:lang w:val="en-US" w:eastAsia="zh-CN"/>
        </w:rPr>
      </w:pPr>
      <w:r>
        <w:rPr>
          <w:rFonts w:hint="eastAsia" w:ascii="宋体" w:hAnsi="宋体"/>
          <w:szCs w:val="21"/>
          <w:lang w:val="en-US" w:eastAsia="zh-CN"/>
        </w:rPr>
        <w:t>5） 质量：</w:t>
      </w:r>
      <w:r>
        <w:rPr>
          <w:rFonts w:hint="eastAsia" w:ascii="宋体" w:hAnsi="宋体"/>
          <w:b/>
          <w:bCs/>
          <w:szCs w:val="21"/>
          <w:u w:val="single"/>
          <w:lang w:val="en-US" w:eastAsia="zh-CN"/>
        </w:rPr>
        <w:t xml:space="preserve"> </w:t>
      </w:r>
      <w:r>
        <w:rPr>
          <w:rFonts w:hint="eastAsia" w:ascii="宋体" w:hAnsi="宋体"/>
          <w:b/>
          <w:bCs/>
          <w:color w:val="FF0000"/>
          <w:szCs w:val="21"/>
          <w:u w:val="single"/>
          <w:lang w:val="en-US" w:eastAsia="zh-CN"/>
        </w:rPr>
        <w:t>合格</w:t>
      </w:r>
      <w:r>
        <w:rPr>
          <w:rFonts w:hint="eastAsia" w:ascii="宋体" w:hAnsi="宋体"/>
          <w:szCs w:val="21"/>
          <w:u w:val="none"/>
          <w:lang w:val="en-US" w:eastAsia="zh-CN"/>
        </w:rPr>
        <w:t>。</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b/>
          <w:bCs/>
          <w:color w:val="FF0000"/>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w:t>
      </w:r>
      <w:r>
        <w:rPr>
          <w:rFonts w:hint="eastAsia" w:ascii="Times New Roman" w:hAnsi="Times New Roman" w:eastAsia="宋体" w:cs="Times New Roman"/>
          <w:b/>
          <w:bCs/>
          <w:szCs w:val="24"/>
          <w:highlight w:val="yellow"/>
        </w:rPr>
        <w:t>资格</w:t>
      </w:r>
      <w:r>
        <w:rPr>
          <w:rFonts w:hint="eastAsia" w:ascii="Times New Roman" w:hAnsi="Times New Roman" w:eastAsia="宋体" w:cs="Times New Roman"/>
          <w:b/>
          <w:bCs/>
          <w:szCs w:val="24"/>
          <w:highlight w:val="yellow"/>
          <w:lang w:val="en-US" w:eastAsia="zh-CN"/>
        </w:rPr>
        <w:t>预</w:t>
      </w:r>
      <w:r>
        <w:rPr>
          <w:rFonts w:hint="eastAsia" w:ascii="Times New Roman" w:hAnsi="Times New Roman" w:eastAsia="宋体" w:cs="Times New Roman"/>
          <w:b/>
          <w:bCs/>
          <w:szCs w:val="24"/>
          <w:highlight w:val="yellow"/>
        </w:rPr>
        <w:t>审</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0"/>
        </w:numPr>
        <w:spacing w:line="360" w:lineRule="auto"/>
        <w:rPr>
          <w:rFonts w:ascii="Times New Roman" w:hAnsi="Times New Roman" w:eastAsia="宋体" w:cs="Times New Roman"/>
          <w:szCs w:val="24"/>
        </w:rPr>
      </w:pPr>
      <w:r>
        <w:rPr>
          <w:rFonts w:ascii="宋体" w:hAnsi="宋体" w:cs="宋体"/>
          <w:kern w:val="1"/>
          <w:szCs w:val="21"/>
        </w:rPr>
        <w:t>   </w:t>
      </w: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2023</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6</w:t>
      </w:r>
      <w:r>
        <w:rPr>
          <w:rFonts w:hint="eastAsia" w:ascii="Times New Roman" w:hAnsi="Times New Roman" w:eastAsia="宋体" w:cs="Times New Roman"/>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2" w:firstLineChars="200"/>
        <w:rPr>
          <w:rFonts w:hint="default" w:hAnsi="宋体"/>
          <w:b/>
          <w:bCs/>
          <w:sz w:val="21"/>
          <w:szCs w:val="21"/>
          <w:highlight w:val="yellow"/>
          <w:lang w:val="en-US"/>
        </w:rPr>
      </w:pPr>
      <w:r>
        <w:rPr>
          <w:rFonts w:hint="eastAsia" w:hAnsi="宋体"/>
          <w:b/>
          <w:bCs/>
          <w:sz w:val="21"/>
          <w:szCs w:val="21"/>
          <w:highlight w:val="yellow"/>
        </w:rPr>
        <w:t>使用纸质的投标文件</w:t>
      </w:r>
      <w:r>
        <w:rPr>
          <w:rFonts w:hint="eastAsia" w:hAnsi="宋体"/>
          <w:b/>
          <w:bCs/>
          <w:color w:val="FF0000"/>
          <w:sz w:val="21"/>
          <w:szCs w:val="21"/>
          <w:highlight w:val="yellow"/>
          <w:lang w:val="en-US" w:eastAsia="zh-CN"/>
        </w:rPr>
        <w:t>壹</w:t>
      </w:r>
      <w:r>
        <w:rPr>
          <w:rFonts w:hint="eastAsia" w:hAnsi="宋体"/>
          <w:b/>
          <w:bCs/>
          <w:sz w:val="21"/>
          <w:szCs w:val="21"/>
          <w:highlight w:val="yellow"/>
          <w:lang w:val="en-US" w:eastAsia="zh-CN"/>
        </w:rPr>
        <w:t>份，</w:t>
      </w:r>
      <w:r>
        <w:rPr>
          <w:rFonts w:hint="eastAsia" w:hAnsi="宋体"/>
          <w:b/>
          <w:bCs/>
          <w:color w:val="FF0000"/>
          <w:sz w:val="21"/>
          <w:szCs w:val="21"/>
          <w:highlight w:val="yellow"/>
          <w:lang w:val="en-US" w:eastAsia="zh-CN"/>
        </w:rPr>
        <w:t>必须采用胶装，否则视为不响应招标要求，按废标处理</w:t>
      </w:r>
      <w:r>
        <w:rPr>
          <w:rFonts w:hint="eastAsia" w:hAnsi="宋体"/>
          <w:b/>
          <w:bCs/>
          <w:sz w:val="21"/>
          <w:szCs w:val="21"/>
          <w:highlight w:val="yellow"/>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80</w:t>
      </w:r>
      <w:r>
        <w:rPr>
          <w:rFonts w:ascii="宋体" w:hAnsi="宋体" w:cs="宋体"/>
          <w:color w:val="FF0000"/>
          <w:kern w:val="1"/>
          <w:szCs w:val="21"/>
        </w:rPr>
        <w:t>%</w:t>
      </w:r>
      <w:r>
        <w:rPr>
          <w:rFonts w:hint="eastAsia" w:ascii="宋体" w:hAnsi="宋体" w:cs="宋体"/>
          <w:color w:val="FF0000"/>
          <w:kern w:val="1"/>
          <w:szCs w:val="21"/>
          <w:lang w:eastAsia="zh-CN"/>
        </w:rPr>
        <w:t>（</w:t>
      </w:r>
      <w:r>
        <w:rPr>
          <w:rFonts w:hint="eastAsia" w:ascii="宋体" w:hAnsi="宋体" w:cs="宋体"/>
          <w:color w:val="FF0000"/>
          <w:kern w:val="1"/>
          <w:szCs w:val="21"/>
          <w:lang w:val="en-US" w:eastAsia="zh-CN"/>
        </w:rPr>
        <w:t>不含预留金</w:t>
      </w:r>
      <w:r>
        <w:rPr>
          <w:rFonts w:hint="eastAsia" w:ascii="宋体" w:hAnsi="宋体" w:cs="宋体"/>
          <w:color w:val="FF0000"/>
          <w:kern w:val="1"/>
          <w:szCs w:val="21"/>
          <w:lang w:eastAsia="zh-CN"/>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工程结算审计完成后，一周内付至审计金额的95%，剩余5%为质保金，质保期内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jc w:val="left"/>
        <w:rPr>
          <w:rFonts w:hint="default"/>
          <w:lang w:val="en-US" w:eastAsia="zh-CN"/>
        </w:rPr>
      </w:pPr>
      <w:r>
        <w:rPr>
          <w:rFonts w:hint="default"/>
          <w:lang w:val="en-US" w:eastAsia="zh-CN"/>
        </w:rPr>
        <w:br w:type="page"/>
      </w:r>
    </w:p>
    <w:p>
      <w:pPr>
        <w:pStyle w:val="9"/>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W w:w="94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16"/>
        <w:gridCol w:w="1561"/>
        <w:gridCol w:w="3210"/>
        <w:gridCol w:w="675"/>
        <w:gridCol w:w="915"/>
        <w:gridCol w:w="165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32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ascii="Arial" w:hAnsi="Arial" w:eastAsia="宋体" w:cs="Arial"/>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165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全费用综合包干单价（元）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（包含税金9%及其他所有费用）</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合价</w:t>
            </w:r>
            <w:r>
              <w:rPr>
                <w:rFonts w:hint="eastAsia" w:ascii="Arial" w:hAnsi="Arial" w:eastAsia="宋体" w:cs="Arial"/>
                <w:i w:val="0"/>
                <w:iCs w:val="0"/>
                <w:color w:val="000000"/>
                <w:kern w:val="0"/>
                <w:sz w:val="20"/>
                <w:szCs w:val="20"/>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416" w:type="dxa"/>
            <w:tcBorders>
              <w:top w:val="nil"/>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561" w:type="dxa"/>
            <w:tcBorders>
              <w:top w:val="nil"/>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拆除混凝土类路面层</w:t>
            </w:r>
          </w:p>
        </w:tc>
        <w:tc>
          <w:tcPr>
            <w:tcW w:w="3210" w:type="dxa"/>
            <w:tcBorders>
              <w:top w:val="nil"/>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1.破除砼路面，厚度20cm;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2.混凝土类构件，按此厚度进行换算；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3.破除的废弃物外运出厂外，自行考虑运距。</w:t>
            </w:r>
          </w:p>
        </w:tc>
        <w:tc>
          <w:tcPr>
            <w:tcW w:w="675" w:type="dxa"/>
            <w:tcBorders>
              <w:top w:val="nil"/>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15" w:type="dxa"/>
            <w:tcBorders>
              <w:top w:val="nil"/>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198.00 </w:t>
            </w:r>
          </w:p>
        </w:tc>
        <w:tc>
          <w:tcPr>
            <w:tcW w:w="1650" w:type="dxa"/>
            <w:tcBorders>
              <w:top w:val="nil"/>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拆除砖砌体</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1.破除砖砌体；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2.破除的废弃物外运出厂外，自行考虑运距。</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30.00 </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1.机械挖沟槽土方，深度1m以外；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2.土方外运出场外，自行考虑运距；</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510.00</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Φ250承插球墨铸铁管安装</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1.Φ250承插球墨铸铁管安装包含相关辅材配件；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2.材料为国标合格产品；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3.其他未尽说明执行现行施工验收规范要求；</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170.00</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MPP电力电缆管</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1.MPP电力电缆管 Φ160*6；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2.埋地安装；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3.其他未尽说明执行现行施工验收规范要求；</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bookmarkStart w:id="1" w:name="_GoBack"/>
            <w:bookmarkEnd w:id="1"/>
            <w:r>
              <w:rPr>
                <w:rFonts w:hint="eastAsia" w:ascii="宋体" w:hAnsi="宋体" w:eastAsia="宋体" w:cs="宋体"/>
                <w:i w:val="0"/>
                <w:iCs w:val="0"/>
                <w:color w:val="000000"/>
                <w:kern w:val="0"/>
                <w:sz w:val="18"/>
                <w:szCs w:val="18"/>
                <w:u w:val="none"/>
                <w:bdr w:val="none" w:color="auto" w:sz="0" w:space="0"/>
                <w:lang w:val="en-US" w:eastAsia="zh-CN" w:bidi="ar"/>
              </w:rPr>
              <w:t xml:space="preserve">020.00 </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混凝土保护电力管</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1.C20砼加固保护电力管；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2.其他未尽说明执行现行施工验收规范要求；</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86.00 </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砌筑电缆井</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1.砖砌电缆井：1.2m*1.6m*1.2m深；内壁抹灰、井底C20砼垫层；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2.高分子承重井座井盖；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3.其他未尽说明执行现行施工验收规范要求；</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416"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561"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水泥混凝土路面</w:t>
            </w:r>
          </w:p>
        </w:tc>
        <w:tc>
          <w:tcPr>
            <w:tcW w:w="3210" w:type="dxa"/>
            <w:tcBorders>
              <w:top w:val="single" w:color="000000" w:sz="4" w:space="0"/>
              <w:left w:val="single" w:color="000000" w:sz="4" w:space="0"/>
              <w:bottom w:val="single" w:color="auto" w:sz="4" w:space="0"/>
              <w:right w:val="nil"/>
            </w:tcBorders>
            <w:shd w:val="clear" w:color="auto" w:fill="FFFFFF"/>
            <w:vAlign w:val="center"/>
          </w:tcPr>
          <w:p>
            <w:pPr>
              <w:pStyle w:val="2"/>
              <w:spacing w:line="240" w:lineRule="auto"/>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1.20cm厚C25砼地面恢复；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2.10cm石子垫层；</w:t>
            </w:r>
          </w:p>
          <w:p>
            <w:pPr>
              <w:pStyle w:val="2"/>
              <w:spacing w:line="240" w:lineRule="auto"/>
              <w:ind w:left="0" w:leftChars="0" w:firstLine="0" w:firstLineChars="0"/>
              <w:rPr>
                <w:rFonts w:hint="default"/>
                <w:lang w:val="en-US"/>
              </w:rPr>
            </w:pPr>
            <w:r>
              <w:rPr>
                <w:rFonts w:hint="eastAsia" w:ascii="宋体" w:hAnsi="宋体" w:eastAsia="宋体" w:cs="宋体"/>
                <w:i w:val="0"/>
                <w:iCs w:val="0"/>
                <w:color w:val="000000"/>
                <w:kern w:val="0"/>
                <w:sz w:val="18"/>
                <w:szCs w:val="18"/>
                <w:u w:val="none"/>
                <w:lang w:val="en-US" w:eastAsia="zh-CN" w:bidi="ar"/>
              </w:rPr>
              <w:t>3.其他未尽说明执行现行施工验收规范要求；</w:t>
            </w:r>
          </w:p>
        </w:tc>
        <w:tc>
          <w:tcPr>
            <w:tcW w:w="67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1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198.00 </w:t>
            </w:r>
          </w:p>
        </w:tc>
        <w:tc>
          <w:tcPr>
            <w:tcW w:w="1650" w:type="dxa"/>
            <w:tcBorders>
              <w:top w:val="single" w:color="000000" w:sz="4" w:space="0"/>
              <w:left w:val="single" w:color="000000" w:sz="4" w:space="0"/>
              <w:bottom w:val="single" w:color="auto"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4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混凝土排水沟</w:t>
            </w:r>
          </w:p>
        </w:tc>
        <w:tc>
          <w:tcPr>
            <w:tcW w:w="32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1.排水沟（明排）；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2.沟壁厚度100，高300，沟底宽300，厚度100；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3.包含支模费用。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hint="default" w:eastAsiaTheme="minorEastAsia"/>
                <w:lang w:val="en-US" w:eastAsia="zh-CN"/>
              </w:rPr>
            </w:pPr>
            <w:r>
              <w:rPr>
                <w:rFonts w:hint="eastAsia" w:ascii="宋体" w:hAnsi="宋体" w:eastAsia="宋体" w:cs="宋体"/>
                <w:i w:val="0"/>
                <w:iCs w:val="0"/>
                <w:color w:val="000000"/>
                <w:kern w:val="0"/>
                <w:sz w:val="18"/>
                <w:szCs w:val="18"/>
                <w:u w:val="none"/>
                <w:lang w:val="en-US" w:eastAsia="zh-CN" w:bidi="ar"/>
              </w:rPr>
              <w:t>4.其他</w:t>
            </w:r>
            <w:r>
              <w:rPr>
                <w:rFonts w:hint="eastAsia" w:ascii="宋体" w:hAnsi="宋体" w:eastAsia="宋体" w:cs="宋体"/>
                <w:i w:val="0"/>
                <w:iCs w:val="0"/>
                <w:color w:val="000000"/>
                <w:kern w:val="0"/>
                <w:sz w:val="18"/>
                <w:szCs w:val="18"/>
                <w:u w:val="none"/>
                <w:lang w:val="en-US" w:eastAsia="zh-CN" w:bidi="ar"/>
              </w:rPr>
              <w:t>未尽说明执行现行施工验收规范要求；</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140.00 </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416" w:type="dxa"/>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561" w:type="dxa"/>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8字植草砖拆除及恢复</w:t>
            </w:r>
          </w:p>
        </w:tc>
        <w:tc>
          <w:tcPr>
            <w:tcW w:w="3210" w:type="dxa"/>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1.8字植草砖保护性拆除，就地堆放；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2.管道安装结束后，8字砖恢复至原样；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3.其他未尽说明执行现行施工验收规范要求；</w:t>
            </w:r>
          </w:p>
        </w:tc>
        <w:tc>
          <w:tcPr>
            <w:tcW w:w="675" w:type="dxa"/>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15" w:type="dxa"/>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25.00 </w:t>
            </w:r>
          </w:p>
        </w:tc>
        <w:tc>
          <w:tcPr>
            <w:tcW w:w="1650" w:type="dxa"/>
            <w:tcBorders>
              <w:top w:val="single" w:color="auto"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人行道板安砌</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1.原人行道板砖拆除，垃圾外运；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2.新安砌人行道板300*300，砂垫层；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3.3.其他未尽说明执行现行施工验收规范要求；</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18.00 </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4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56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路侧石拆除及恢复</w:t>
            </w:r>
          </w:p>
        </w:tc>
        <w:tc>
          <w:tcPr>
            <w:tcW w:w="32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lang w:val="en-US" w:eastAsia="zh-CN" w:bidi="ar"/>
              </w:rPr>
              <w:t>1.路侧石保护性拆除，就地堆放，并自行考虑损耗，计入报价；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2.管道安装结束后，恢复至原样；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3.其他未尽说明执行现行施工验收规范要求；</w:t>
            </w:r>
          </w:p>
        </w:tc>
        <w:tc>
          <w:tcPr>
            <w:tcW w:w="67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650"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416"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561"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预留金</w:t>
            </w:r>
          </w:p>
        </w:tc>
        <w:tc>
          <w:tcPr>
            <w:tcW w:w="3210"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1.预留金暂定30000.00元，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2.此项报价不得优惠，否则视为不响应招标文件</w:t>
            </w:r>
          </w:p>
        </w:tc>
        <w:tc>
          <w:tcPr>
            <w:tcW w:w="67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91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1650" w:type="dxa"/>
            <w:tcBorders>
              <w:top w:val="single" w:color="000000" w:sz="4" w:space="0"/>
              <w:left w:val="single" w:color="000000" w:sz="4" w:space="0"/>
              <w:bottom w:val="single" w:color="auto"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30000.00</w:t>
            </w:r>
          </w:p>
        </w:tc>
        <w:tc>
          <w:tcPr>
            <w:tcW w:w="103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3210"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0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spacing w:line="480" w:lineRule="auto"/>
        <w:ind w:left="0" w:leftChars="0" w:firstLine="0" w:firstLineChars="0"/>
        <w:rPr>
          <w:rFonts w:hint="eastAsia"/>
          <w:lang w:val="en-US" w:eastAsia="zh-CN"/>
        </w:rPr>
      </w:pP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3(002)</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2D65C4D"/>
    <w:rsid w:val="03AA669F"/>
    <w:rsid w:val="052B0FF7"/>
    <w:rsid w:val="055C2B78"/>
    <w:rsid w:val="06A9064A"/>
    <w:rsid w:val="07DA1576"/>
    <w:rsid w:val="083A4899"/>
    <w:rsid w:val="08B10DAC"/>
    <w:rsid w:val="091C7D4D"/>
    <w:rsid w:val="09D33E39"/>
    <w:rsid w:val="0D865002"/>
    <w:rsid w:val="0D991856"/>
    <w:rsid w:val="0ED301A4"/>
    <w:rsid w:val="11590032"/>
    <w:rsid w:val="14905C3C"/>
    <w:rsid w:val="14D2689C"/>
    <w:rsid w:val="15A91713"/>
    <w:rsid w:val="161F4BB6"/>
    <w:rsid w:val="16766175"/>
    <w:rsid w:val="171A2593"/>
    <w:rsid w:val="18103A7E"/>
    <w:rsid w:val="190832C6"/>
    <w:rsid w:val="196F2AA5"/>
    <w:rsid w:val="19981FDF"/>
    <w:rsid w:val="1A9801CD"/>
    <w:rsid w:val="1ABF3529"/>
    <w:rsid w:val="1C1E5965"/>
    <w:rsid w:val="1D206C11"/>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5F93572"/>
    <w:rsid w:val="3602634C"/>
    <w:rsid w:val="39CA0C06"/>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5D5BE6"/>
    <w:rsid w:val="5E753699"/>
    <w:rsid w:val="60187CD1"/>
    <w:rsid w:val="620D1761"/>
    <w:rsid w:val="67580D92"/>
    <w:rsid w:val="68C77980"/>
    <w:rsid w:val="691B2573"/>
    <w:rsid w:val="69DF4113"/>
    <w:rsid w:val="6B4C7908"/>
    <w:rsid w:val="6E642A80"/>
    <w:rsid w:val="711E6BE0"/>
    <w:rsid w:val="71476A42"/>
    <w:rsid w:val="719B3959"/>
    <w:rsid w:val="73352A55"/>
    <w:rsid w:val="7747221A"/>
    <w:rsid w:val="781269A6"/>
    <w:rsid w:val="7BFC747A"/>
    <w:rsid w:val="7D0619A1"/>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2635</Words>
  <Characters>2829</Characters>
  <Lines>15</Lines>
  <Paragraphs>4</Paragraphs>
  <TotalTime>2</TotalTime>
  <ScaleCrop>false</ScaleCrop>
  <LinksUpToDate>false</LinksUpToDate>
  <CharactersWithSpaces>3334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2023-01-03T00:40:40Z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13FF88AAD20846B9873FE078B2402DEC</vt:lpwstr>
  </property>
</Properties>
</file>