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70BB1" w14:textId="77777777" w:rsidR="00D26039" w:rsidRDefault="00B30650">
      <w:pPr>
        <w:autoSpaceDE w:val="0"/>
        <w:adjustRightInd w:val="0"/>
        <w:spacing w:line="480" w:lineRule="auto"/>
        <w:ind w:firstLineChars="50" w:firstLine="140"/>
        <w:rPr>
          <w:rFonts w:eastAsia="黑体"/>
          <w:kern w:val="0"/>
          <w:sz w:val="52"/>
          <w:szCs w:val="52"/>
        </w:rPr>
      </w:pPr>
      <w:r>
        <w:rPr>
          <w:kern w:val="0"/>
          <w:sz w:val="28"/>
          <w:szCs w:val="28"/>
        </w:rPr>
        <w:t>证券代码：</w:t>
      </w:r>
      <w:r>
        <w:rPr>
          <w:rFonts w:hint="eastAsia"/>
          <w:b/>
          <w:bCs/>
          <w:kern w:val="0"/>
          <w:sz w:val="28"/>
          <w:szCs w:val="28"/>
        </w:rPr>
        <w:t>600</w:t>
      </w:r>
      <w:r>
        <w:rPr>
          <w:b/>
          <w:bCs/>
          <w:kern w:val="0"/>
          <w:sz w:val="28"/>
          <w:szCs w:val="28"/>
        </w:rPr>
        <w:t xml:space="preserve">237                       </w:t>
      </w:r>
      <w:r>
        <w:rPr>
          <w:kern w:val="0"/>
          <w:sz w:val="28"/>
          <w:szCs w:val="28"/>
        </w:rPr>
        <w:t>证券简称：</w:t>
      </w:r>
      <w:r>
        <w:rPr>
          <w:rFonts w:hint="eastAsia"/>
          <w:kern w:val="0"/>
          <w:sz w:val="28"/>
          <w:szCs w:val="28"/>
        </w:rPr>
        <w:t>铜峰电子</w:t>
      </w:r>
    </w:p>
    <w:p w14:paraId="3C5864C3" w14:textId="77777777" w:rsidR="00D26039" w:rsidRDefault="00D26039">
      <w:pPr>
        <w:autoSpaceDE w:val="0"/>
        <w:adjustRightInd w:val="0"/>
        <w:spacing w:line="480" w:lineRule="auto"/>
        <w:jc w:val="center"/>
        <w:rPr>
          <w:rFonts w:eastAsia="黑体"/>
          <w:kern w:val="0"/>
          <w:sz w:val="52"/>
          <w:szCs w:val="52"/>
        </w:rPr>
      </w:pPr>
    </w:p>
    <w:p w14:paraId="261E500D" w14:textId="77777777" w:rsidR="00D26039" w:rsidRPr="009040E8" w:rsidRDefault="00D26039">
      <w:pPr>
        <w:autoSpaceDE w:val="0"/>
        <w:adjustRightInd w:val="0"/>
        <w:spacing w:line="480" w:lineRule="auto"/>
        <w:jc w:val="center"/>
        <w:rPr>
          <w:rFonts w:eastAsia="黑体"/>
          <w:kern w:val="0"/>
          <w:sz w:val="52"/>
          <w:szCs w:val="52"/>
        </w:rPr>
      </w:pPr>
    </w:p>
    <w:p w14:paraId="73F1D9F0" w14:textId="77777777" w:rsidR="00D26039" w:rsidRDefault="00B30650">
      <w:pPr>
        <w:autoSpaceDE w:val="0"/>
        <w:adjustRightInd w:val="0"/>
        <w:spacing w:line="720" w:lineRule="auto"/>
        <w:jc w:val="center"/>
        <w:rPr>
          <w:rFonts w:eastAsia="黑体"/>
          <w:b/>
          <w:kern w:val="0"/>
          <w:sz w:val="48"/>
          <w:szCs w:val="48"/>
        </w:rPr>
      </w:pPr>
      <w:r>
        <w:rPr>
          <w:rFonts w:eastAsia="黑体" w:hint="eastAsia"/>
          <w:b/>
          <w:bCs/>
          <w:sz w:val="48"/>
          <w:szCs w:val="48"/>
        </w:rPr>
        <w:t>安徽铜峰电子股份有限公司</w:t>
      </w:r>
      <w:r>
        <w:rPr>
          <w:rFonts w:eastAsia="黑体"/>
          <w:b/>
          <w:bCs/>
          <w:sz w:val="48"/>
          <w:szCs w:val="48"/>
        </w:rPr>
        <w:t xml:space="preserve"> </w:t>
      </w:r>
    </w:p>
    <w:p w14:paraId="2042B683" w14:textId="77777777" w:rsidR="00D26039" w:rsidRDefault="00B30650">
      <w:pPr>
        <w:pStyle w:val="Default"/>
        <w:autoSpaceDN/>
        <w:spacing w:before="120"/>
        <w:jc w:val="center"/>
        <w:rPr>
          <w:rFonts w:ascii="Times New Roman" w:cs="Times New Roman"/>
          <w:color w:val="auto"/>
          <w:sz w:val="30"/>
          <w:szCs w:val="30"/>
        </w:rPr>
      </w:pPr>
      <w:r>
        <w:rPr>
          <w:rFonts w:ascii="Times New Roman" w:cs="Times New Roman"/>
          <w:color w:val="auto"/>
          <w:sz w:val="30"/>
          <w:szCs w:val="30"/>
        </w:rPr>
        <w:t>ANHUI TONGFENG ELECTRONICS COMPANY LIMITED</w:t>
      </w:r>
    </w:p>
    <w:p w14:paraId="3A608FD7" w14:textId="77777777" w:rsidR="00D26039" w:rsidRDefault="00B30650">
      <w:pPr>
        <w:pStyle w:val="Default"/>
        <w:autoSpaceDN/>
        <w:spacing w:before="240"/>
        <w:jc w:val="center"/>
        <w:rPr>
          <w:rFonts w:ascii="Times New Roman" w:cs="Times New Roman"/>
          <w:color w:val="auto"/>
          <w:sz w:val="30"/>
          <w:szCs w:val="30"/>
        </w:rPr>
      </w:pPr>
      <w:r>
        <w:rPr>
          <w:noProof/>
        </w:rPr>
        <w:drawing>
          <wp:inline distT="0" distB="0" distL="0" distR="0" wp14:anchorId="15B3A7B2" wp14:editId="28351302">
            <wp:extent cx="1653540" cy="160274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680052" cy="1628795"/>
                    </a:xfrm>
                    <a:prstGeom prst="rect">
                      <a:avLst/>
                    </a:prstGeom>
                  </pic:spPr>
                </pic:pic>
              </a:graphicData>
            </a:graphic>
          </wp:inline>
        </w:drawing>
      </w:r>
    </w:p>
    <w:p w14:paraId="257AF330" w14:textId="77777777" w:rsidR="00D26039" w:rsidRDefault="00D26039">
      <w:pPr>
        <w:pStyle w:val="Default"/>
        <w:autoSpaceDN/>
        <w:spacing w:before="240"/>
        <w:jc w:val="center"/>
        <w:rPr>
          <w:rFonts w:ascii="Times New Roman" w:cs="Times New Roman"/>
          <w:color w:val="auto"/>
          <w:sz w:val="30"/>
          <w:szCs w:val="30"/>
        </w:rPr>
      </w:pPr>
    </w:p>
    <w:p w14:paraId="78D0483C" w14:textId="77777777" w:rsidR="00D26039" w:rsidRDefault="00D26039">
      <w:pPr>
        <w:autoSpaceDE w:val="0"/>
        <w:adjustRightInd w:val="0"/>
        <w:spacing w:line="360" w:lineRule="auto"/>
        <w:jc w:val="center"/>
        <w:rPr>
          <w:rFonts w:eastAsia="黑体"/>
          <w:bCs/>
          <w:szCs w:val="21"/>
        </w:rPr>
      </w:pPr>
    </w:p>
    <w:p w14:paraId="697010CB" w14:textId="77777777" w:rsidR="00D26039" w:rsidRDefault="00B30650">
      <w:pPr>
        <w:autoSpaceDE w:val="0"/>
        <w:adjustRightInd w:val="0"/>
        <w:spacing w:line="720" w:lineRule="auto"/>
        <w:jc w:val="center"/>
        <w:rPr>
          <w:rFonts w:eastAsia="黑体"/>
          <w:b/>
          <w:bCs/>
          <w:sz w:val="48"/>
          <w:szCs w:val="48"/>
        </w:rPr>
      </w:pPr>
      <w:r>
        <w:rPr>
          <w:rFonts w:eastAsia="黑体"/>
          <w:b/>
          <w:bCs/>
          <w:sz w:val="48"/>
          <w:szCs w:val="48"/>
        </w:rPr>
        <w:t>20</w:t>
      </w:r>
      <w:r>
        <w:rPr>
          <w:rFonts w:eastAsia="黑体" w:hint="eastAsia"/>
          <w:b/>
          <w:bCs/>
          <w:sz w:val="48"/>
          <w:szCs w:val="48"/>
        </w:rPr>
        <w:t>2</w:t>
      </w:r>
      <w:r>
        <w:rPr>
          <w:rFonts w:eastAsia="黑体"/>
          <w:b/>
          <w:bCs/>
          <w:sz w:val="48"/>
          <w:szCs w:val="48"/>
        </w:rPr>
        <w:t>2</w:t>
      </w:r>
      <w:r>
        <w:rPr>
          <w:rFonts w:eastAsia="黑体"/>
          <w:b/>
          <w:bCs/>
          <w:sz w:val="48"/>
          <w:szCs w:val="48"/>
        </w:rPr>
        <w:t>年度非公开发行</w:t>
      </w:r>
      <w:r>
        <w:rPr>
          <w:rFonts w:eastAsia="黑体" w:hint="eastAsia"/>
          <w:b/>
          <w:bCs/>
          <w:sz w:val="48"/>
          <w:szCs w:val="48"/>
        </w:rPr>
        <w:t>A</w:t>
      </w:r>
      <w:r>
        <w:rPr>
          <w:rFonts w:eastAsia="黑体" w:hint="eastAsia"/>
          <w:b/>
          <w:bCs/>
          <w:sz w:val="48"/>
          <w:szCs w:val="48"/>
        </w:rPr>
        <w:t>股</w:t>
      </w:r>
      <w:r>
        <w:rPr>
          <w:rFonts w:eastAsia="黑体"/>
          <w:b/>
          <w:bCs/>
          <w:sz w:val="48"/>
          <w:szCs w:val="48"/>
        </w:rPr>
        <w:t>股票预案</w:t>
      </w:r>
    </w:p>
    <w:p w14:paraId="0B412446" w14:textId="77777777" w:rsidR="00D26039" w:rsidRDefault="00D26039">
      <w:pPr>
        <w:autoSpaceDE w:val="0"/>
        <w:adjustRightInd w:val="0"/>
        <w:spacing w:line="480" w:lineRule="auto"/>
        <w:jc w:val="center"/>
        <w:rPr>
          <w:rFonts w:eastAsia="黑体"/>
          <w:kern w:val="0"/>
          <w:sz w:val="52"/>
          <w:szCs w:val="52"/>
        </w:rPr>
      </w:pPr>
    </w:p>
    <w:p w14:paraId="5D1953D1" w14:textId="77777777" w:rsidR="00D26039" w:rsidRDefault="00D26039">
      <w:pPr>
        <w:autoSpaceDE w:val="0"/>
        <w:adjustRightInd w:val="0"/>
        <w:spacing w:line="480" w:lineRule="auto"/>
        <w:jc w:val="center"/>
        <w:rPr>
          <w:rFonts w:eastAsia="黑体"/>
          <w:kern w:val="0"/>
          <w:sz w:val="52"/>
          <w:szCs w:val="52"/>
        </w:rPr>
      </w:pPr>
    </w:p>
    <w:p w14:paraId="2FB15038" w14:textId="77777777" w:rsidR="00D26039" w:rsidRDefault="00D26039">
      <w:pPr>
        <w:autoSpaceDE w:val="0"/>
        <w:adjustRightInd w:val="0"/>
        <w:spacing w:line="480" w:lineRule="auto"/>
        <w:jc w:val="center"/>
        <w:rPr>
          <w:rFonts w:eastAsia="黑体"/>
          <w:kern w:val="0"/>
          <w:sz w:val="52"/>
          <w:szCs w:val="52"/>
        </w:rPr>
      </w:pPr>
    </w:p>
    <w:p w14:paraId="405F3F46" w14:textId="77777777" w:rsidR="00D26039" w:rsidRDefault="00D26039">
      <w:pPr>
        <w:autoSpaceDE w:val="0"/>
        <w:adjustRightInd w:val="0"/>
        <w:spacing w:line="480" w:lineRule="auto"/>
        <w:jc w:val="center"/>
        <w:rPr>
          <w:rFonts w:eastAsia="黑体"/>
          <w:kern w:val="0"/>
          <w:sz w:val="52"/>
          <w:szCs w:val="52"/>
        </w:rPr>
      </w:pPr>
    </w:p>
    <w:p w14:paraId="210B2C7C" w14:textId="77777777" w:rsidR="00D26039" w:rsidRDefault="00D26039">
      <w:pPr>
        <w:autoSpaceDE w:val="0"/>
        <w:adjustRightInd w:val="0"/>
        <w:spacing w:line="480" w:lineRule="auto"/>
        <w:jc w:val="center"/>
        <w:rPr>
          <w:rFonts w:eastAsia="黑体"/>
          <w:kern w:val="0"/>
          <w:sz w:val="52"/>
          <w:szCs w:val="52"/>
        </w:rPr>
      </w:pPr>
    </w:p>
    <w:p w14:paraId="44B65289" w14:textId="77777777" w:rsidR="00D26039" w:rsidRDefault="00B30650">
      <w:pPr>
        <w:autoSpaceDE w:val="0"/>
        <w:adjustRightInd w:val="0"/>
        <w:spacing w:beforeLines="150" w:before="468" w:afterLines="150" w:after="468" w:line="360" w:lineRule="auto"/>
        <w:jc w:val="center"/>
        <w:rPr>
          <w:rFonts w:eastAsia="黑体"/>
          <w:kern w:val="0"/>
          <w:sz w:val="44"/>
          <w:szCs w:val="44"/>
        </w:rPr>
      </w:pPr>
      <w:r>
        <w:rPr>
          <w:rFonts w:eastAsia="黑体"/>
          <w:b/>
          <w:sz w:val="36"/>
          <w:szCs w:val="36"/>
        </w:rPr>
        <w:t>二〇</w:t>
      </w:r>
      <w:r>
        <w:rPr>
          <w:rFonts w:eastAsia="黑体" w:hint="eastAsia"/>
          <w:b/>
          <w:sz w:val="36"/>
          <w:szCs w:val="36"/>
        </w:rPr>
        <w:t>二二</w:t>
      </w:r>
      <w:r>
        <w:rPr>
          <w:rFonts w:eastAsia="黑体"/>
          <w:b/>
          <w:sz w:val="36"/>
          <w:szCs w:val="36"/>
        </w:rPr>
        <w:t>年</w:t>
      </w:r>
      <w:r>
        <w:rPr>
          <w:rFonts w:eastAsia="黑体" w:hint="eastAsia"/>
          <w:b/>
          <w:sz w:val="36"/>
          <w:szCs w:val="36"/>
        </w:rPr>
        <w:t>八</w:t>
      </w:r>
      <w:r>
        <w:rPr>
          <w:rFonts w:eastAsia="黑体"/>
          <w:b/>
          <w:sz w:val="36"/>
          <w:szCs w:val="36"/>
        </w:rPr>
        <w:t>月</w:t>
      </w:r>
    </w:p>
    <w:p w14:paraId="2189222B" w14:textId="77777777" w:rsidR="00D26039" w:rsidRDefault="00B30650">
      <w:pPr>
        <w:autoSpaceDE w:val="0"/>
        <w:adjustRightInd w:val="0"/>
        <w:spacing w:beforeLines="100" w:before="312" w:afterLines="100" w:after="312"/>
        <w:jc w:val="center"/>
        <w:rPr>
          <w:rFonts w:eastAsia="黑体"/>
          <w:kern w:val="0"/>
          <w:sz w:val="15"/>
          <w:szCs w:val="44"/>
        </w:rPr>
      </w:pPr>
      <w:r>
        <w:rPr>
          <w:rFonts w:eastAsia="黑体"/>
          <w:kern w:val="0"/>
          <w:sz w:val="44"/>
          <w:szCs w:val="44"/>
        </w:rPr>
        <w:br w:type="page"/>
      </w:r>
    </w:p>
    <w:p w14:paraId="4F947769" w14:textId="77777777" w:rsidR="00D26039" w:rsidRDefault="00D26039">
      <w:pPr>
        <w:pStyle w:val="1"/>
        <w:autoSpaceDE w:val="0"/>
        <w:spacing w:beforeLines="50" w:before="156" w:afterLines="50" w:after="156" w:line="360" w:lineRule="auto"/>
        <w:sectPr w:rsidR="00D26039">
          <w:headerReference w:type="default" r:id="rId9"/>
          <w:footerReference w:type="even" r:id="rId10"/>
          <w:pgSz w:w="11906" w:h="16838"/>
          <w:pgMar w:top="1440" w:right="1800" w:bottom="1440" w:left="1800" w:header="851" w:footer="992" w:gutter="0"/>
          <w:cols w:space="425"/>
          <w:docGrid w:type="lines" w:linePitch="312"/>
        </w:sectPr>
      </w:pPr>
    </w:p>
    <w:p w14:paraId="0DB5DAA7" w14:textId="77777777" w:rsidR="00D26039" w:rsidRDefault="00B30650">
      <w:pPr>
        <w:pStyle w:val="1"/>
        <w:autoSpaceDE w:val="0"/>
        <w:spacing w:beforeLines="50" w:before="156" w:afterLines="50" w:after="156" w:line="360" w:lineRule="auto"/>
      </w:pPr>
      <w:bookmarkStart w:id="0" w:name="_Toc111905391"/>
      <w:r>
        <w:lastRenderedPageBreak/>
        <w:t>公司声明</w:t>
      </w:r>
      <w:bookmarkEnd w:id="0"/>
    </w:p>
    <w:p w14:paraId="1491F48A"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公司及董事会全体成员保证本预案内容真实、准确、完整，并确认不存在虚假记载、误导性陈述或重大遗漏。</w:t>
      </w:r>
    </w:p>
    <w:p w14:paraId="3E5F0AA1"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本次非公开发行股票完成后，公司经营与收益的变化由公司自行负责；因本次非公开发行股票引致的投资风险由投资者自行负责。</w:t>
      </w:r>
    </w:p>
    <w:p w14:paraId="5F279AAD"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本预案是公司董事会对本次非公开发行股票的说明，任何与之相反的声明均属不实陈述。</w:t>
      </w:r>
    </w:p>
    <w:p w14:paraId="0D65D709"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投资者如有任何疑问，应咨询自己的股票经纪人、律师、专业会计师或其他专业顾问。</w:t>
      </w:r>
    </w:p>
    <w:p w14:paraId="16F7353C"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本预案所述事项并不代表审批机关对于本次非公开发行股票相关事项的实质性判断、确认或批准，本预案所述本次非公开发行股票相关事项的生效和完成尚待取得有关审批机关的批准或核准。</w:t>
      </w:r>
    </w:p>
    <w:p w14:paraId="24C204C8" w14:textId="77777777" w:rsidR="00D26039" w:rsidRDefault="00B30650">
      <w:pPr>
        <w:pStyle w:val="1"/>
        <w:autoSpaceDE w:val="0"/>
        <w:spacing w:beforeLines="50" w:before="156" w:afterLines="50" w:after="156" w:line="360" w:lineRule="auto"/>
      </w:pPr>
      <w:r>
        <w:rPr>
          <w:kern w:val="0"/>
          <w:sz w:val="24"/>
        </w:rPr>
        <w:br w:type="page"/>
      </w:r>
      <w:bookmarkStart w:id="1" w:name="_Toc111905392"/>
      <w:r>
        <w:lastRenderedPageBreak/>
        <w:t>特别提示</w:t>
      </w:r>
      <w:bookmarkEnd w:id="1"/>
    </w:p>
    <w:p w14:paraId="423E3929" w14:textId="59A64064"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1</w:t>
      </w:r>
      <w:r>
        <w:rPr>
          <w:kern w:val="0"/>
          <w:sz w:val="24"/>
        </w:rPr>
        <w:t>、本次非公开发行股票方案已经</w:t>
      </w:r>
      <w:r>
        <w:rPr>
          <w:rFonts w:hint="eastAsia"/>
          <w:kern w:val="0"/>
          <w:sz w:val="24"/>
        </w:rPr>
        <w:t>202</w:t>
      </w:r>
      <w:r>
        <w:rPr>
          <w:kern w:val="0"/>
          <w:sz w:val="24"/>
        </w:rPr>
        <w:t>2</w:t>
      </w:r>
      <w:r>
        <w:rPr>
          <w:rFonts w:hint="eastAsia"/>
          <w:kern w:val="0"/>
          <w:sz w:val="24"/>
        </w:rPr>
        <w:t>年</w:t>
      </w:r>
      <w:r>
        <w:rPr>
          <w:kern w:val="0"/>
          <w:sz w:val="24"/>
        </w:rPr>
        <w:t>8</w:t>
      </w:r>
      <w:r>
        <w:rPr>
          <w:rFonts w:hint="eastAsia"/>
          <w:kern w:val="0"/>
          <w:sz w:val="24"/>
        </w:rPr>
        <w:t>月</w:t>
      </w:r>
      <w:r w:rsidR="00B4128D">
        <w:rPr>
          <w:rFonts w:hint="eastAsia"/>
          <w:kern w:val="0"/>
          <w:sz w:val="24"/>
        </w:rPr>
        <w:t>3</w:t>
      </w:r>
      <w:r w:rsidR="00B4128D">
        <w:rPr>
          <w:kern w:val="0"/>
          <w:sz w:val="24"/>
        </w:rPr>
        <w:t>0</w:t>
      </w:r>
      <w:r>
        <w:rPr>
          <w:rFonts w:hint="eastAsia"/>
          <w:kern w:val="0"/>
          <w:sz w:val="24"/>
        </w:rPr>
        <w:t>日召开的</w:t>
      </w:r>
      <w:r>
        <w:rPr>
          <w:kern w:val="0"/>
          <w:sz w:val="24"/>
        </w:rPr>
        <w:t>公司</w:t>
      </w:r>
      <w:r>
        <w:rPr>
          <w:rFonts w:hint="eastAsia"/>
          <w:kern w:val="0"/>
          <w:sz w:val="24"/>
        </w:rPr>
        <w:t>第九届董事会第十三次会议</w:t>
      </w:r>
      <w:r>
        <w:rPr>
          <w:kern w:val="0"/>
          <w:sz w:val="24"/>
        </w:rPr>
        <w:t>审议通过。</w:t>
      </w:r>
    </w:p>
    <w:p w14:paraId="68239ED4" w14:textId="7D515A8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2</w:t>
      </w:r>
      <w:r>
        <w:rPr>
          <w:kern w:val="0"/>
          <w:sz w:val="24"/>
        </w:rPr>
        <w:t>、</w:t>
      </w:r>
      <w:r>
        <w:rPr>
          <w:rFonts w:hint="eastAsia"/>
          <w:kern w:val="0"/>
          <w:sz w:val="24"/>
        </w:rPr>
        <w:t>本次发行对象为包括控股股东大江投资在内的不超过三十五名（含）特定对象。其中大江投资已于</w:t>
      </w:r>
      <w:r>
        <w:rPr>
          <w:kern w:val="0"/>
          <w:sz w:val="24"/>
        </w:rPr>
        <w:t>2022</w:t>
      </w:r>
      <w:r>
        <w:rPr>
          <w:rFonts w:hint="eastAsia"/>
          <w:kern w:val="0"/>
          <w:sz w:val="24"/>
        </w:rPr>
        <w:t>年</w:t>
      </w:r>
      <w:r>
        <w:rPr>
          <w:kern w:val="0"/>
          <w:sz w:val="24"/>
        </w:rPr>
        <w:t>8</w:t>
      </w:r>
      <w:r>
        <w:rPr>
          <w:rFonts w:hint="eastAsia"/>
          <w:kern w:val="0"/>
          <w:sz w:val="24"/>
        </w:rPr>
        <w:t>月</w:t>
      </w:r>
      <w:r w:rsidR="00B4128D">
        <w:rPr>
          <w:rFonts w:hint="eastAsia"/>
          <w:kern w:val="0"/>
          <w:sz w:val="24"/>
        </w:rPr>
        <w:t>3</w:t>
      </w:r>
      <w:r w:rsidR="00B4128D">
        <w:rPr>
          <w:kern w:val="0"/>
          <w:sz w:val="24"/>
        </w:rPr>
        <w:t>0</w:t>
      </w:r>
      <w:r>
        <w:rPr>
          <w:rFonts w:hint="eastAsia"/>
          <w:kern w:val="0"/>
          <w:sz w:val="24"/>
        </w:rPr>
        <w:t>日与公司签订了</w:t>
      </w:r>
      <w:bookmarkStart w:id="2" w:name="_Hlk112410070"/>
      <w:r w:rsidR="00EC2FA6">
        <w:rPr>
          <w:rFonts w:hint="eastAsia"/>
          <w:kern w:val="0"/>
          <w:sz w:val="24"/>
        </w:rPr>
        <w:t>《附条件生效的股份认购协议》</w:t>
      </w:r>
      <w:bookmarkEnd w:id="2"/>
      <w:r>
        <w:rPr>
          <w:rFonts w:hint="eastAsia"/>
          <w:kern w:val="0"/>
          <w:sz w:val="24"/>
        </w:rPr>
        <w:t>，拟以现金方式按照与其他发行对象相同的认购价格认购本次非公开发行股票，大江投资拟认购股份总数不低于本次非公开发行总股数的</w:t>
      </w:r>
      <w:r>
        <w:rPr>
          <w:rFonts w:hint="eastAsia"/>
          <w:kern w:val="0"/>
          <w:sz w:val="24"/>
        </w:rPr>
        <w:t>20%</w:t>
      </w:r>
      <w:r>
        <w:rPr>
          <w:rFonts w:hint="eastAsia"/>
          <w:kern w:val="0"/>
          <w:sz w:val="24"/>
        </w:rPr>
        <w:t>（含本数），且本次发行完成后持股比例不超过公司总股本的</w:t>
      </w:r>
      <w:r>
        <w:rPr>
          <w:rFonts w:hint="eastAsia"/>
          <w:kern w:val="0"/>
          <w:sz w:val="24"/>
        </w:rPr>
        <w:t>30%</w:t>
      </w:r>
      <w:r>
        <w:rPr>
          <w:rFonts w:hint="eastAsia"/>
          <w:kern w:val="0"/>
          <w:sz w:val="24"/>
        </w:rPr>
        <w:t>。</w:t>
      </w:r>
      <w:bookmarkStart w:id="3" w:name="_Hlk111888329"/>
      <w:bookmarkStart w:id="4" w:name="_Hlk111888730"/>
      <w:r>
        <w:rPr>
          <w:rFonts w:hint="eastAsia"/>
          <w:kern w:val="0"/>
          <w:sz w:val="24"/>
        </w:rPr>
        <w:t>除大江投资外，其他发行对象为</w:t>
      </w:r>
      <w:bookmarkEnd w:id="3"/>
      <w:r>
        <w:rPr>
          <w:rFonts w:hint="eastAsia"/>
          <w:kern w:val="0"/>
          <w:sz w:val="24"/>
        </w:rPr>
        <w:t>包括符合规定条件的证券投资基金管理公司、证券公司、信托投资公司、财务公司、保险机构投资者、合格境外机构投资者以及法律法规规定可以购买人民币普通股（</w:t>
      </w:r>
      <w:r>
        <w:rPr>
          <w:rFonts w:hint="eastAsia"/>
          <w:kern w:val="0"/>
          <w:sz w:val="24"/>
        </w:rPr>
        <w:t>A</w:t>
      </w:r>
      <w:r>
        <w:rPr>
          <w:rFonts w:hint="eastAsia"/>
          <w:kern w:val="0"/>
          <w:sz w:val="24"/>
        </w:rPr>
        <w:t>股）股票的法人、自然人或其他投资者。证券投资基金管理公司、证券公司、合格境外机构投资者、人民币合格境外机构投资者以其管理的</w:t>
      </w:r>
      <w:r>
        <w:rPr>
          <w:rFonts w:hint="eastAsia"/>
          <w:kern w:val="0"/>
          <w:sz w:val="24"/>
        </w:rPr>
        <w:t>2</w:t>
      </w:r>
      <w:r>
        <w:rPr>
          <w:rFonts w:hint="eastAsia"/>
          <w:kern w:val="0"/>
          <w:sz w:val="24"/>
        </w:rPr>
        <w:t>只以上基金认购的，视为一个发行对象；信托投资公司作为发行对象的，只能以自有资金认购。</w:t>
      </w:r>
      <w:bookmarkEnd w:id="4"/>
    </w:p>
    <w:p w14:paraId="3991090D" w14:textId="77777777" w:rsidR="00D26039" w:rsidRDefault="00B30650">
      <w:pPr>
        <w:autoSpaceDE w:val="0"/>
        <w:adjustRightInd w:val="0"/>
        <w:spacing w:beforeLines="50" w:before="156" w:afterLines="50" w:after="156" w:line="360" w:lineRule="auto"/>
        <w:ind w:firstLineChars="200" w:firstLine="480"/>
        <w:rPr>
          <w:kern w:val="0"/>
          <w:sz w:val="24"/>
        </w:rPr>
      </w:pPr>
      <w:bookmarkStart w:id="5" w:name="_Hlk111888374"/>
      <w:bookmarkStart w:id="6" w:name="_Hlk111888743"/>
      <w:r>
        <w:rPr>
          <w:rFonts w:hint="eastAsia"/>
          <w:kern w:val="0"/>
          <w:sz w:val="24"/>
        </w:rPr>
        <w:t>除大江投资以外的其他发行对象将在公司获得中国证监会关于本次发行的核准批文后，由公司董事会在股东大会的授权范围内，与保荐机构（主承销商）根据发行对象申购报价情况协商确定。</w:t>
      </w:r>
      <w:bookmarkEnd w:id="5"/>
    </w:p>
    <w:bookmarkEnd w:id="6"/>
    <w:p w14:paraId="0C150FFE"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3</w:t>
      </w:r>
      <w:r>
        <w:rPr>
          <w:kern w:val="0"/>
          <w:sz w:val="24"/>
        </w:rPr>
        <w:t>、</w:t>
      </w:r>
      <w:r>
        <w:rPr>
          <w:rFonts w:hint="eastAsia"/>
          <w:kern w:val="0"/>
          <w:sz w:val="24"/>
        </w:rPr>
        <w:t>本次非公开发行的定价基准日为公司本次非公开发行的发行期首日，发行价格不低于定价基准日前</w:t>
      </w:r>
      <w:r>
        <w:rPr>
          <w:kern w:val="0"/>
          <w:sz w:val="24"/>
        </w:rPr>
        <w:t>20</w:t>
      </w:r>
      <w:r>
        <w:rPr>
          <w:rFonts w:hint="eastAsia"/>
          <w:kern w:val="0"/>
          <w:sz w:val="24"/>
        </w:rPr>
        <w:t>个交易日公司股票交易均价的</w:t>
      </w:r>
      <w:r>
        <w:rPr>
          <w:kern w:val="0"/>
          <w:sz w:val="24"/>
        </w:rPr>
        <w:t>80%</w:t>
      </w:r>
      <w:r>
        <w:rPr>
          <w:rFonts w:hint="eastAsia"/>
          <w:kern w:val="0"/>
          <w:sz w:val="24"/>
        </w:rPr>
        <w:t>。定价基准日前</w:t>
      </w:r>
      <w:r>
        <w:rPr>
          <w:kern w:val="0"/>
          <w:sz w:val="24"/>
        </w:rPr>
        <w:t>20</w:t>
      </w:r>
      <w:r>
        <w:rPr>
          <w:rFonts w:hint="eastAsia"/>
          <w:kern w:val="0"/>
          <w:sz w:val="24"/>
        </w:rPr>
        <w:t>个交易日公司股票交易均价</w:t>
      </w:r>
      <w:r>
        <w:rPr>
          <w:kern w:val="0"/>
          <w:sz w:val="24"/>
        </w:rPr>
        <w:t>=</w:t>
      </w:r>
      <w:r>
        <w:rPr>
          <w:rFonts w:hint="eastAsia"/>
          <w:kern w:val="0"/>
          <w:sz w:val="24"/>
        </w:rPr>
        <w:t>定价基准日前</w:t>
      </w:r>
      <w:r>
        <w:rPr>
          <w:kern w:val="0"/>
          <w:sz w:val="24"/>
        </w:rPr>
        <w:t>20</w:t>
      </w:r>
      <w:r>
        <w:rPr>
          <w:rFonts w:hint="eastAsia"/>
          <w:kern w:val="0"/>
          <w:sz w:val="24"/>
        </w:rPr>
        <w:t>个交易日公司</w:t>
      </w:r>
      <w:r>
        <w:rPr>
          <w:kern w:val="0"/>
          <w:sz w:val="24"/>
        </w:rPr>
        <w:t>A</w:t>
      </w:r>
      <w:r>
        <w:rPr>
          <w:rFonts w:hint="eastAsia"/>
          <w:kern w:val="0"/>
          <w:sz w:val="24"/>
        </w:rPr>
        <w:t>股股票交易总额</w:t>
      </w:r>
      <w:r>
        <w:rPr>
          <w:kern w:val="0"/>
          <w:sz w:val="24"/>
        </w:rPr>
        <w:t>/</w:t>
      </w:r>
      <w:r>
        <w:rPr>
          <w:rFonts w:hint="eastAsia"/>
          <w:kern w:val="0"/>
          <w:sz w:val="24"/>
        </w:rPr>
        <w:t>定价基准日前</w:t>
      </w:r>
      <w:r>
        <w:rPr>
          <w:kern w:val="0"/>
          <w:sz w:val="24"/>
        </w:rPr>
        <w:t>20</w:t>
      </w:r>
      <w:r>
        <w:rPr>
          <w:rFonts w:hint="eastAsia"/>
          <w:kern w:val="0"/>
          <w:sz w:val="24"/>
        </w:rPr>
        <w:t>个交易日公司</w:t>
      </w:r>
      <w:r>
        <w:rPr>
          <w:kern w:val="0"/>
          <w:sz w:val="24"/>
        </w:rPr>
        <w:t>A</w:t>
      </w:r>
      <w:r>
        <w:rPr>
          <w:rFonts w:hint="eastAsia"/>
          <w:kern w:val="0"/>
          <w:sz w:val="24"/>
        </w:rPr>
        <w:t>股股票交易总量（以下简称“发行底价”）。若在该</w:t>
      </w:r>
      <w:r>
        <w:rPr>
          <w:kern w:val="0"/>
          <w:sz w:val="24"/>
        </w:rPr>
        <w:t>20</w:t>
      </w:r>
      <w:r>
        <w:rPr>
          <w:rFonts w:hint="eastAsia"/>
          <w:kern w:val="0"/>
          <w:sz w:val="24"/>
        </w:rPr>
        <w:t>个交易日内公司发生因派息、送股、资本公积转增股本等除权、除息事项引起股价调整的情形，则对调整前交易日的交易价格</w:t>
      </w:r>
      <w:proofErr w:type="gramStart"/>
      <w:r>
        <w:rPr>
          <w:rFonts w:hint="eastAsia"/>
          <w:kern w:val="0"/>
          <w:sz w:val="24"/>
        </w:rPr>
        <w:t>按经过</w:t>
      </w:r>
      <w:proofErr w:type="gramEnd"/>
      <w:r>
        <w:rPr>
          <w:rFonts w:hint="eastAsia"/>
          <w:kern w:val="0"/>
          <w:sz w:val="24"/>
        </w:rPr>
        <w:t>相应除权、除息调整后的价格计算。</w:t>
      </w:r>
    </w:p>
    <w:p w14:paraId="1F1335B4" w14:textId="77777777" w:rsidR="00D26039" w:rsidRDefault="00B30650">
      <w:pPr>
        <w:autoSpaceDE w:val="0"/>
        <w:adjustRightInd w:val="0"/>
        <w:spacing w:beforeLines="50" w:before="156" w:afterLines="50" w:after="156" w:line="360" w:lineRule="auto"/>
        <w:ind w:firstLineChars="200" w:firstLine="480"/>
        <w:rPr>
          <w:kern w:val="0"/>
          <w:sz w:val="24"/>
        </w:rPr>
      </w:pPr>
      <w:bookmarkStart w:id="7" w:name="_Hlk111889000"/>
      <w:r>
        <w:rPr>
          <w:rFonts w:hint="eastAsia"/>
          <w:kern w:val="0"/>
          <w:sz w:val="24"/>
        </w:rPr>
        <w:t>若公司股票在定价基准日至发行日期间发生派息、送股、资本公积转增股本等除权、除息事项，则前述发行底价应进行相应调整。</w:t>
      </w:r>
      <w:bookmarkStart w:id="8" w:name="_Hlk111918385"/>
    </w:p>
    <w:p w14:paraId="3EFFF73C"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本次发行申请取得中国证监会核准批文后，最终发行价格将根据投资者申购</w:t>
      </w:r>
      <w:r>
        <w:rPr>
          <w:rFonts w:hint="eastAsia"/>
          <w:kern w:val="0"/>
          <w:sz w:val="24"/>
        </w:rPr>
        <w:lastRenderedPageBreak/>
        <w:t>报价情况，由公司董事会在股东大会的授权范围内，与本次发行的保荐机构（主承销商）协商确定</w:t>
      </w:r>
      <w:bookmarkEnd w:id="8"/>
      <w:r>
        <w:rPr>
          <w:rFonts w:hint="eastAsia"/>
          <w:kern w:val="0"/>
          <w:sz w:val="24"/>
        </w:rPr>
        <w:t>。</w:t>
      </w:r>
      <w:bookmarkStart w:id="9" w:name="_Hlk111888591"/>
      <w:r>
        <w:rPr>
          <w:rFonts w:hint="eastAsia"/>
          <w:kern w:val="0"/>
          <w:sz w:val="24"/>
        </w:rPr>
        <w:t>大江投资不参与本次发行的市场竞价过程，同意竞价结果并以与其他投资者相同的价格认购本次发行的股份。</w:t>
      </w:r>
      <w:bookmarkStart w:id="10" w:name="_Hlk111892764"/>
      <w:bookmarkStart w:id="11" w:name="_Hlk111892608"/>
      <w:bookmarkEnd w:id="9"/>
      <w:r>
        <w:rPr>
          <w:rFonts w:hint="eastAsia"/>
          <w:kern w:val="0"/>
          <w:sz w:val="24"/>
        </w:rPr>
        <w:t>若本次非公开发行没有通过竞价方式产生发行价格，大江投资将继续参与认购，并以本次发行底价（定价基准日前</w:t>
      </w:r>
      <w:r>
        <w:rPr>
          <w:rFonts w:hint="eastAsia"/>
          <w:kern w:val="0"/>
          <w:sz w:val="24"/>
        </w:rPr>
        <w:t>20</w:t>
      </w:r>
      <w:r>
        <w:rPr>
          <w:rFonts w:hint="eastAsia"/>
          <w:kern w:val="0"/>
          <w:sz w:val="24"/>
        </w:rPr>
        <w:t>个交易日公司股票交易均价的</w:t>
      </w:r>
      <w:r>
        <w:rPr>
          <w:rFonts w:hint="eastAsia"/>
          <w:kern w:val="0"/>
          <w:sz w:val="24"/>
        </w:rPr>
        <w:t>80%</w:t>
      </w:r>
      <w:r>
        <w:rPr>
          <w:rFonts w:hint="eastAsia"/>
          <w:kern w:val="0"/>
          <w:sz w:val="24"/>
        </w:rPr>
        <w:t>）作为认购价格</w:t>
      </w:r>
      <w:bookmarkEnd w:id="10"/>
      <w:r>
        <w:rPr>
          <w:rFonts w:hint="eastAsia"/>
          <w:kern w:val="0"/>
          <w:sz w:val="24"/>
        </w:rPr>
        <w:t>。</w:t>
      </w:r>
      <w:bookmarkEnd w:id="11"/>
    </w:p>
    <w:bookmarkEnd w:id="7"/>
    <w:p w14:paraId="7CBC7F27" w14:textId="67BD42F4"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4</w:t>
      </w:r>
      <w:r>
        <w:rPr>
          <w:kern w:val="0"/>
          <w:sz w:val="24"/>
        </w:rPr>
        <w:t>、本次非公开发行股票数量不超过</w:t>
      </w:r>
      <w:r>
        <w:rPr>
          <w:rFonts w:hint="eastAsia"/>
          <w:kern w:val="0"/>
          <w:sz w:val="24"/>
        </w:rPr>
        <w:t>发行前公司总股本的</w:t>
      </w:r>
      <w:r>
        <w:rPr>
          <w:rFonts w:hint="eastAsia"/>
          <w:kern w:val="0"/>
          <w:sz w:val="24"/>
        </w:rPr>
        <w:t>30%</w:t>
      </w:r>
      <w:r>
        <w:rPr>
          <w:kern w:val="0"/>
          <w:sz w:val="24"/>
        </w:rPr>
        <w:t>，</w:t>
      </w:r>
      <w:bookmarkStart w:id="12" w:name="_Hlk111889069"/>
      <w:r>
        <w:rPr>
          <w:rFonts w:hint="eastAsia"/>
          <w:kern w:val="0"/>
          <w:sz w:val="24"/>
        </w:rPr>
        <w:t>即不超过</w:t>
      </w:r>
      <w:r>
        <w:rPr>
          <w:kern w:val="0"/>
          <w:sz w:val="24"/>
        </w:rPr>
        <w:t>169,310,869</w:t>
      </w:r>
      <w:r>
        <w:rPr>
          <w:rFonts w:hint="eastAsia"/>
          <w:kern w:val="0"/>
          <w:sz w:val="24"/>
        </w:rPr>
        <w:t>股（含本数）</w:t>
      </w:r>
      <w:bookmarkEnd w:id="12"/>
      <w:r>
        <w:rPr>
          <w:rFonts w:hint="eastAsia"/>
          <w:kern w:val="0"/>
          <w:sz w:val="24"/>
        </w:rPr>
        <w:t>，符合中国证监会《发行监管问答——关于引导规范上市公司融资行为的监管要求》的相关规定</w:t>
      </w:r>
      <w:r>
        <w:rPr>
          <w:kern w:val="0"/>
          <w:sz w:val="24"/>
        </w:rPr>
        <w:t>。</w:t>
      </w:r>
      <w:bookmarkStart w:id="13" w:name="_Hlk111889127"/>
      <w:r>
        <w:rPr>
          <w:kern w:val="0"/>
          <w:sz w:val="24"/>
        </w:rPr>
        <w:t>若公司股票在</w:t>
      </w:r>
      <w:r>
        <w:rPr>
          <w:rFonts w:hint="eastAsia"/>
          <w:kern w:val="0"/>
          <w:sz w:val="24"/>
        </w:rPr>
        <w:t>定价基准日</w:t>
      </w:r>
      <w:r>
        <w:rPr>
          <w:kern w:val="0"/>
          <w:sz w:val="24"/>
        </w:rPr>
        <w:t>至发行日期间</w:t>
      </w:r>
      <w:r>
        <w:rPr>
          <w:rFonts w:hint="eastAsia"/>
          <w:kern w:val="0"/>
          <w:sz w:val="24"/>
        </w:rPr>
        <w:t>发生现金分红、送股、资本公积转增股本等</w:t>
      </w:r>
      <w:r>
        <w:rPr>
          <w:kern w:val="0"/>
          <w:sz w:val="24"/>
        </w:rPr>
        <w:t>除权、除息事项，本次非公开发行股票数量将作相应调整。</w:t>
      </w:r>
      <w:r>
        <w:rPr>
          <w:rFonts w:hint="eastAsia"/>
          <w:kern w:val="0"/>
          <w:sz w:val="24"/>
        </w:rPr>
        <w:t>最终发行数量将在公司取得中国证监会关于本次发行核准批文后，根据发行对象申购报价的情况，由公司董事会根据股东大会的授权与保荐机构（主承销商）协商确定最终的发行数量。</w:t>
      </w:r>
    </w:p>
    <w:bookmarkEnd w:id="13"/>
    <w:p w14:paraId="6666EA82" w14:textId="2EC4AD6A"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5</w:t>
      </w:r>
      <w:r>
        <w:rPr>
          <w:kern w:val="0"/>
          <w:sz w:val="24"/>
        </w:rPr>
        <w:t>、本次非公开发行募集资金总额</w:t>
      </w:r>
      <w:r>
        <w:rPr>
          <w:rFonts w:hint="eastAsia"/>
          <w:kern w:val="0"/>
          <w:sz w:val="24"/>
        </w:rPr>
        <w:t>不超过</w:t>
      </w:r>
      <w:r>
        <w:rPr>
          <w:kern w:val="0"/>
          <w:sz w:val="24"/>
        </w:rPr>
        <w:t>4</w:t>
      </w:r>
      <w:r>
        <w:rPr>
          <w:rFonts w:hint="eastAsia"/>
          <w:kern w:val="0"/>
          <w:sz w:val="24"/>
        </w:rPr>
        <w:t>0,</w:t>
      </w:r>
      <w:r>
        <w:rPr>
          <w:kern w:val="0"/>
          <w:sz w:val="24"/>
        </w:rPr>
        <w:t>000</w:t>
      </w:r>
      <w:r w:rsidR="002D7821">
        <w:rPr>
          <w:kern w:val="0"/>
          <w:sz w:val="24"/>
        </w:rPr>
        <w:t>.00</w:t>
      </w:r>
      <w:r>
        <w:rPr>
          <w:rFonts w:hint="eastAsia"/>
          <w:kern w:val="0"/>
          <w:sz w:val="24"/>
        </w:rPr>
        <w:t>万元（含本数）</w:t>
      </w:r>
      <w:r>
        <w:rPr>
          <w:kern w:val="0"/>
          <w:sz w:val="24"/>
        </w:rPr>
        <w:t>，</w:t>
      </w:r>
      <w:r>
        <w:rPr>
          <w:rFonts w:hint="eastAsia"/>
          <w:kern w:val="0"/>
          <w:sz w:val="24"/>
        </w:rPr>
        <w:t>扣除相关发行费用后的募集资金净额将全部投资于以下项目：</w:t>
      </w:r>
    </w:p>
    <w:p w14:paraId="153F7A6F" w14:textId="77777777" w:rsidR="00D26039" w:rsidRDefault="00B30650">
      <w:pPr>
        <w:ind w:firstLineChars="200" w:firstLine="420"/>
        <w:jc w:val="right"/>
        <w:rPr>
          <w:rFonts w:ascii="宋体" w:hAnsi="宋体"/>
          <w:color w:val="000000"/>
          <w:szCs w:val="21"/>
        </w:rPr>
      </w:pPr>
      <w:r>
        <w:rPr>
          <w:rFonts w:ascii="宋体" w:hAnsi="宋体" w:hint="eastAsia"/>
          <w:color w:val="000000"/>
          <w:szCs w:val="21"/>
        </w:rPr>
        <w:t>单位：万元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48"/>
        <w:gridCol w:w="4038"/>
        <w:gridCol w:w="1842"/>
        <w:gridCol w:w="1894"/>
      </w:tblGrid>
      <w:tr w:rsidR="00D26039" w14:paraId="08096796" w14:textId="77777777">
        <w:trPr>
          <w:trHeight w:val="397"/>
          <w:jc w:val="center"/>
        </w:trPr>
        <w:tc>
          <w:tcPr>
            <w:tcW w:w="439" w:type="pct"/>
            <w:shd w:val="clear" w:color="auto" w:fill="auto"/>
            <w:vAlign w:val="center"/>
          </w:tcPr>
          <w:p w14:paraId="3F48BBCE" w14:textId="77777777" w:rsidR="00D26039" w:rsidRDefault="00B30650">
            <w:pPr>
              <w:widowControl/>
              <w:jc w:val="center"/>
              <w:rPr>
                <w:rFonts w:ascii="宋体" w:hAnsi="宋体" w:cs="Calibri"/>
                <w:b/>
                <w:bCs/>
                <w:kern w:val="0"/>
                <w:szCs w:val="21"/>
              </w:rPr>
            </w:pPr>
            <w:r>
              <w:rPr>
                <w:rFonts w:ascii="宋体" w:hAnsi="宋体" w:cs="Calibri" w:hint="eastAsia"/>
                <w:b/>
                <w:bCs/>
                <w:kern w:val="0"/>
                <w:szCs w:val="21"/>
              </w:rPr>
              <w:t>序号</w:t>
            </w:r>
          </w:p>
        </w:tc>
        <w:tc>
          <w:tcPr>
            <w:tcW w:w="2369" w:type="pct"/>
            <w:shd w:val="clear" w:color="auto" w:fill="auto"/>
            <w:vAlign w:val="center"/>
          </w:tcPr>
          <w:p w14:paraId="6459B29D" w14:textId="77777777" w:rsidR="00D26039" w:rsidRDefault="00B30650">
            <w:pPr>
              <w:widowControl/>
              <w:jc w:val="center"/>
              <w:rPr>
                <w:b/>
                <w:bCs/>
                <w:kern w:val="0"/>
                <w:szCs w:val="21"/>
              </w:rPr>
            </w:pPr>
            <w:r>
              <w:rPr>
                <w:rFonts w:hint="eastAsia"/>
                <w:b/>
                <w:bCs/>
                <w:kern w:val="0"/>
                <w:szCs w:val="21"/>
              </w:rPr>
              <w:t>项目名称</w:t>
            </w:r>
          </w:p>
        </w:tc>
        <w:tc>
          <w:tcPr>
            <w:tcW w:w="1081" w:type="pct"/>
            <w:shd w:val="clear" w:color="auto" w:fill="auto"/>
            <w:vAlign w:val="center"/>
          </w:tcPr>
          <w:p w14:paraId="602616A3" w14:textId="77777777" w:rsidR="00D26039" w:rsidRDefault="00B30650">
            <w:pPr>
              <w:widowControl/>
              <w:jc w:val="center"/>
              <w:rPr>
                <w:b/>
                <w:bCs/>
                <w:kern w:val="0"/>
                <w:szCs w:val="21"/>
              </w:rPr>
            </w:pPr>
            <w:r>
              <w:rPr>
                <w:rFonts w:hint="eastAsia"/>
                <w:b/>
                <w:bCs/>
                <w:kern w:val="0"/>
                <w:szCs w:val="21"/>
              </w:rPr>
              <w:t>项目总投资</w:t>
            </w:r>
          </w:p>
        </w:tc>
        <w:tc>
          <w:tcPr>
            <w:tcW w:w="1111" w:type="pct"/>
            <w:shd w:val="clear" w:color="auto" w:fill="auto"/>
            <w:vAlign w:val="center"/>
          </w:tcPr>
          <w:p w14:paraId="303F50BE" w14:textId="77777777" w:rsidR="00D26039" w:rsidRDefault="00B30650">
            <w:pPr>
              <w:widowControl/>
              <w:jc w:val="center"/>
              <w:rPr>
                <w:b/>
                <w:bCs/>
                <w:kern w:val="0"/>
                <w:szCs w:val="21"/>
              </w:rPr>
            </w:pPr>
            <w:r>
              <w:rPr>
                <w:rFonts w:hint="eastAsia"/>
                <w:b/>
                <w:bCs/>
                <w:szCs w:val="21"/>
              </w:rPr>
              <w:t>拟投入募集资金</w:t>
            </w:r>
          </w:p>
        </w:tc>
      </w:tr>
      <w:tr w:rsidR="00D26039" w14:paraId="53073EDB" w14:textId="77777777">
        <w:trPr>
          <w:trHeight w:val="397"/>
          <w:jc w:val="center"/>
        </w:trPr>
        <w:tc>
          <w:tcPr>
            <w:tcW w:w="439" w:type="pct"/>
            <w:shd w:val="clear" w:color="auto" w:fill="auto"/>
            <w:vAlign w:val="center"/>
          </w:tcPr>
          <w:p w14:paraId="6BD7A1CF" w14:textId="77777777" w:rsidR="00D26039" w:rsidRDefault="00B30650">
            <w:pPr>
              <w:autoSpaceDE w:val="0"/>
              <w:autoSpaceDN w:val="0"/>
              <w:adjustRightInd w:val="0"/>
              <w:jc w:val="center"/>
              <w:rPr>
                <w:rFonts w:ascii="宋体" w:hAnsi="宋体" w:cs="Calibri"/>
                <w:kern w:val="0"/>
                <w:szCs w:val="21"/>
              </w:rPr>
            </w:pPr>
            <w:r>
              <w:rPr>
                <w:rFonts w:cs="瀹嬩綋" w:hint="eastAsia"/>
                <w:kern w:val="0"/>
                <w:szCs w:val="21"/>
              </w:rPr>
              <w:t>1</w:t>
            </w:r>
          </w:p>
        </w:tc>
        <w:tc>
          <w:tcPr>
            <w:tcW w:w="2369" w:type="pct"/>
            <w:shd w:val="clear" w:color="auto" w:fill="auto"/>
            <w:vAlign w:val="center"/>
          </w:tcPr>
          <w:p w14:paraId="4A676481" w14:textId="77777777" w:rsidR="00D26039" w:rsidRDefault="00B30650">
            <w:pPr>
              <w:widowControl/>
              <w:jc w:val="center"/>
              <w:rPr>
                <w:kern w:val="0"/>
                <w:szCs w:val="21"/>
              </w:rPr>
            </w:pPr>
            <w:bookmarkStart w:id="14" w:name="_Hlk112488443"/>
            <w:r>
              <w:rPr>
                <w:rFonts w:hint="eastAsia"/>
                <w:bCs/>
                <w:szCs w:val="21"/>
              </w:rPr>
              <w:t>铜峰电子</w:t>
            </w:r>
            <w:bookmarkEnd w:id="14"/>
            <w:r>
              <w:rPr>
                <w:rFonts w:hint="eastAsia"/>
                <w:kern w:val="0"/>
                <w:szCs w:val="21"/>
              </w:rPr>
              <w:t>新能源用超薄型薄膜材料项目</w:t>
            </w:r>
          </w:p>
        </w:tc>
        <w:tc>
          <w:tcPr>
            <w:tcW w:w="1081" w:type="pct"/>
            <w:shd w:val="clear" w:color="auto" w:fill="auto"/>
            <w:vAlign w:val="center"/>
          </w:tcPr>
          <w:p w14:paraId="7B878EB0" w14:textId="77777777" w:rsidR="00D26039" w:rsidRDefault="00B30650">
            <w:pPr>
              <w:widowControl/>
              <w:jc w:val="right"/>
              <w:rPr>
                <w:kern w:val="0"/>
                <w:szCs w:val="21"/>
              </w:rPr>
            </w:pPr>
            <w:r>
              <w:rPr>
                <w:color w:val="000000"/>
                <w:szCs w:val="21"/>
              </w:rPr>
              <w:t>34,550.00</w:t>
            </w:r>
          </w:p>
        </w:tc>
        <w:tc>
          <w:tcPr>
            <w:tcW w:w="1111" w:type="pct"/>
            <w:shd w:val="clear" w:color="auto" w:fill="auto"/>
            <w:vAlign w:val="center"/>
          </w:tcPr>
          <w:p w14:paraId="1A79F05F" w14:textId="77777777" w:rsidR="00D26039" w:rsidRDefault="00B30650">
            <w:pPr>
              <w:widowControl/>
              <w:jc w:val="right"/>
              <w:rPr>
                <w:kern w:val="0"/>
                <w:szCs w:val="21"/>
              </w:rPr>
            </w:pPr>
            <w:r>
              <w:rPr>
                <w:kern w:val="0"/>
                <w:szCs w:val="21"/>
              </w:rPr>
              <w:t>28,000</w:t>
            </w:r>
            <w:r>
              <w:rPr>
                <w:color w:val="000000"/>
                <w:szCs w:val="21"/>
              </w:rPr>
              <w:t>.00</w:t>
            </w:r>
          </w:p>
        </w:tc>
      </w:tr>
      <w:tr w:rsidR="00D26039" w14:paraId="75FC0BAE" w14:textId="77777777">
        <w:trPr>
          <w:trHeight w:val="397"/>
          <w:jc w:val="center"/>
        </w:trPr>
        <w:tc>
          <w:tcPr>
            <w:tcW w:w="439" w:type="pct"/>
            <w:shd w:val="clear" w:color="auto" w:fill="auto"/>
            <w:vAlign w:val="center"/>
          </w:tcPr>
          <w:p w14:paraId="5803494C" w14:textId="77777777" w:rsidR="00D26039" w:rsidRDefault="00B30650">
            <w:pPr>
              <w:widowControl/>
              <w:jc w:val="center"/>
              <w:rPr>
                <w:rFonts w:ascii="宋体" w:hAnsi="宋体" w:cs="Calibri"/>
                <w:kern w:val="0"/>
                <w:szCs w:val="21"/>
              </w:rPr>
            </w:pPr>
            <w:r>
              <w:rPr>
                <w:rFonts w:cs="Calibri" w:hint="eastAsia"/>
                <w:kern w:val="0"/>
                <w:szCs w:val="21"/>
              </w:rPr>
              <w:t>2</w:t>
            </w:r>
          </w:p>
        </w:tc>
        <w:tc>
          <w:tcPr>
            <w:tcW w:w="2369" w:type="pct"/>
            <w:shd w:val="clear" w:color="auto" w:fill="auto"/>
            <w:vAlign w:val="center"/>
          </w:tcPr>
          <w:p w14:paraId="111FDE7A" w14:textId="77777777" w:rsidR="00D26039" w:rsidRDefault="00B30650">
            <w:pPr>
              <w:widowControl/>
              <w:jc w:val="center"/>
              <w:rPr>
                <w:kern w:val="0"/>
                <w:szCs w:val="21"/>
              </w:rPr>
            </w:pPr>
            <w:r>
              <w:rPr>
                <w:rFonts w:hint="eastAsia"/>
                <w:kern w:val="0"/>
                <w:szCs w:val="21"/>
              </w:rPr>
              <w:t>补充流动资金</w:t>
            </w:r>
          </w:p>
        </w:tc>
        <w:tc>
          <w:tcPr>
            <w:tcW w:w="1081" w:type="pct"/>
            <w:shd w:val="clear" w:color="auto" w:fill="auto"/>
            <w:vAlign w:val="center"/>
          </w:tcPr>
          <w:p w14:paraId="0EA69716" w14:textId="77777777" w:rsidR="00D26039" w:rsidRDefault="00B30650">
            <w:pPr>
              <w:widowControl/>
              <w:jc w:val="right"/>
              <w:rPr>
                <w:kern w:val="0"/>
                <w:szCs w:val="21"/>
              </w:rPr>
            </w:pPr>
            <w:r>
              <w:rPr>
                <w:rFonts w:hint="eastAsia"/>
                <w:kern w:val="0"/>
                <w:szCs w:val="21"/>
              </w:rPr>
              <w:t>1</w:t>
            </w:r>
            <w:r>
              <w:rPr>
                <w:kern w:val="0"/>
                <w:szCs w:val="21"/>
              </w:rPr>
              <w:t>2,000.00</w:t>
            </w:r>
          </w:p>
        </w:tc>
        <w:tc>
          <w:tcPr>
            <w:tcW w:w="1111" w:type="pct"/>
            <w:shd w:val="clear" w:color="auto" w:fill="auto"/>
            <w:vAlign w:val="center"/>
          </w:tcPr>
          <w:p w14:paraId="27FED347" w14:textId="77777777" w:rsidR="00D26039" w:rsidRDefault="00B30650">
            <w:pPr>
              <w:widowControl/>
              <w:jc w:val="right"/>
              <w:rPr>
                <w:kern w:val="0"/>
                <w:szCs w:val="21"/>
              </w:rPr>
            </w:pPr>
            <w:r>
              <w:rPr>
                <w:rFonts w:hint="eastAsia"/>
                <w:kern w:val="0"/>
                <w:szCs w:val="21"/>
              </w:rPr>
              <w:t>1</w:t>
            </w:r>
            <w:r>
              <w:rPr>
                <w:kern w:val="0"/>
                <w:szCs w:val="21"/>
              </w:rPr>
              <w:t>2,000.00</w:t>
            </w:r>
          </w:p>
        </w:tc>
      </w:tr>
      <w:tr w:rsidR="00D26039" w14:paraId="4A39A8F8" w14:textId="77777777">
        <w:trPr>
          <w:trHeight w:val="397"/>
          <w:jc w:val="center"/>
        </w:trPr>
        <w:tc>
          <w:tcPr>
            <w:tcW w:w="2808" w:type="pct"/>
            <w:gridSpan w:val="2"/>
            <w:shd w:val="clear" w:color="auto" w:fill="auto"/>
            <w:vAlign w:val="center"/>
          </w:tcPr>
          <w:p w14:paraId="6158F796" w14:textId="77777777" w:rsidR="00D26039" w:rsidRDefault="00B30650">
            <w:pPr>
              <w:widowControl/>
              <w:jc w:val="center"/>
              <w:rPr>
                <w:b/>
                <w:color w:val="000000"/>
                <w:szCs w:val="21"/>
              </w:rPr>
            </w:pPr>
            <w:r>
              <w:rPr>
                <w:rFonts w:hint="eastAsia"/>
                <w:b/>
                <w:color w:val="000000"/>
                <w:szCs w:val="21"/>
              </w:rPr>
              <w:t>合</w:t>
            </w:r>
            <w:r>
              <w:rPr>
                <w:rFonts w:hint="eastAsia"/>
                <w:b/>
                <w:color w:val="000000"/>
                <w:szCs w:val="21"/>
              </w:rPr>
              <w:t xml:space="preserve"> </w:t>
            </w:r>
            <w:r>
              <w:rPr>
                <w:b/>
                <w:color w:val="000000"/>
                <w:szCs w:val="21"/>
              </w:rPr>
              <w:t xml:space="preserve"> </w:t>
            </w:r>
            <w:r>
              <w:rPr>
                <w:rFonts w:hint="eastAsia"/>
                <w:b/>
                <w:color w:val="000000"/>
                <w:szCs w:val="21"/>
              </w:rPr>
              <w:t>计</w:t>
            </w:r>
          </w:p>
        </w:tc>
        <w:tc>
          <w:tcPr>
            <w:tcW w:w="1081" w:type="pct"/>
            <w:shd w:val="clear" w:color="auto" w:fill="auto"/>
            <w:vAlign w:val="center"/>
          </w:tcPr>
          <w:p w14:paraId="2D1F2C8E" w14:textId="77777777" w:rsidR="00D26039" w:rsidRDefault="00B30650">
            <w:pPr>
              <w:widowControl/>
              <w:jc w:val="right"/>
              <w:rPr>
                <w:b/>
                <w:color w:val="000000"/>
                <w:szCs w:val="21"/>
              </w:rPr>
            </w:pPr>
            <w:r>
              <w:rPr>
                <w:b/>
                <w:color w:val="000000"/>
                <w:szCs w:val="21"/>
              </w:rPr>
              <w:t>46,550.00</w:t>
            </w:r>
          </w:p>
        </w:tc>
        <w:tc>
          <w:tcPr>
            <w:tcW w:w="1111" w:type="pct"/>
            <w:shd w:val="clear" w:color="auto" w:fill="auto"/>
            <w:vAlign w:val="center"/>
          </w:tcPr>
          <w:p w14:paraId="1FFD0F1E" w14:textId="77777777" w:rsidR="00D26039" w:rsidRDefault="00B30650">
            <w:pPr>
              <w:widowControl/>
              <w:jc w:val="right"/>
              <w:rPr>
                <w:b/>
                <w:color w:val="000000"/>
                <w:szCs w:val="21"/>
              </w:rPr>
            </w:pPr>
            <w:r>
              <w:rPr>
                <w:b/>
                <w:color w:val="000000"/>
                <w:szCs w:val="21"/>
              </w:rPr>
              <w:t>40,000.00</w:t>
            </w:r>
          </w:p>
        </w:tc>
      </w:tr>
    </w:tbl>
    <w:p w14:paraId="21141F57" w14:textId="77777777" w:rsidR="00D26039" w:rsidRDefault="00B30650">
      <w:pPr>
        <w:autoSpaceDE w:val="0"/>
        <w:adjustRightInd w:val="0"/>
        <w:spacing w:beforeLines="50" w:before="156" w:afterLines="50" w:after="156" w:line="360" w:lineRule="auto"/>
        <w:ind w:firstLineChars="200" w:firstLine="480"/>
        <w:rPr>
          <w:kern w:val="0"/>
          <w:sz w:val="24"/>
        </w:rPr>
      </w:pPr>
      <w:bookmarkStart w:id="15" w:name="_Hlk111889413"/>
      <w:r>
        <w:rPr>
          <w:rFonts w:hint="eastAsia"/>
          <w:kern w:val="0"/>
          <w:sz w:val="24"/>
        </w:rPr>
        <w:t>若本次发行实际募集资金净额低于拟投资项目的实际资金需求，在不改变拟投资项目的前提下，董事会可根据项目的实际需求，对上述项目的募集资金投入金额、优先顺序进行适当调整，不足部分由公司自行筹措资金解决。本次发行募集资金到位前，公司将根据项目进度的实际情况，以自有资金或其他方式筹集的资金先行投入上述项目，并在募集资金到位后按照相关法律法规予以置换。</w:t>
      </w:r>
    </w:p>
    <w:bookmarkEnd w:id="15"/>
    <w:p w14:paraId="1C032001"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6</w:t>
      </w:r>
      <w:r>
        <w:rPr>
          <w:kern w:val="0"/>
          <w:sz w:val="24"/>
        </w:rPr>
        <w:t>、</w:t>
      </w:r>
      <w:r>
        <w:rPr>
          <w:rFonts w:hint="eastAsia"/>
          <w:kern w:val="0"/>
          <w:sz w:val="24"/>
        </w:rPr>
        <w:t>公司控股股东大江投资，其拟认购本次非公开发行的股票自发行结束之日起十八个月内不得转让，其余发行对象认购的本次发行的股票自发行结束之日起六个月内不得转让。</w:t>
      </w:r>
    </w:p>
    <w:p w14:paraId="3EEF8035" w14:textId="6B55DE6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发行对象基于本次交易所取得公司定向发行的股票因公司分配股票股利、资</w:t>
      </w:r>
      <w:r w:rsidR="005150E9">
        <w:rPr>
          <w:rFonts w:hint="eastAsia"/>
          <w:kern w:val="0"/>
          <w:sz w:val="24"/>
        </w:rPr>
        <w:lastRenderedPageBreak/>
        <w:t>本公积转增等情形所衍生取得的股票亦应遵守上述股票锁定安排。锁定</w:t>
      </w:r>
      <w:r>
        <w:rPr>
          <w:rFonts w:hint="eastAsia"/>
          <w:kern w:val="0"/>
          <w:sz w:val="24"/>
        </w:rPr>
        <w:t>期结束后，将按照中国证监会及上海证券交易所的有关规定执行。相关监管机关对于发行对象所认购股份锁定期另有要求的，从其规定。</w:t>
      </w:r>
    </w:p>
    <w:p w14:paraId="051653CA"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7</w:t>
      </w:r>
      <w:r>
        <w:rPr>
          <w:rFonts w:hint="eastAsia"/>
          <w:kern w:val="0"/>
          <w:sz w:val="24"/>
        </w:rPr>
        <w:t>、</w:t>
      </w:r>
      <w:r>
        <w:rPr>
          <w:kern w:val="0"/>
          <w:sz w:val="24"/>
        </w:rPr>
        <w:t>发行人本次非公开发行符合《公司法》、《证券法》及《上海证券交易所股票上市规则》等法律、法规的有关规定，本次非公开发行后，</w:t>
      </w:r>
      <w:r>
        <w:rPr>
          <w:rFonts w:hint="eastAsia"/>
          <w:kern w:val="0"/>
          <w:sz w:val="24"/>
        </w:rPr>
        <w:t>本公司控股股东及实际控制人不变，</w:t>
      </w:r>
      <w:r>
        <w:rPr>
          <w:kern w:val="0"/>
          <w:sz w:val="24"/>
        </w:rPr>
        <w:t>公司的股权分布不会导致公司不符合上市条件。</w:t>
      </w:r>
    </w:p>
    <w:p w14:paraId="44991A64"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8</w:t>
      </w:r>
      <w:r>
        <w:rPr>
          <w:kern w:val="0"/>
          <w:sz w:val="24"/>
        </w:rPr>
        <w:t>、本次非公开发行股票决议的有效期为自公司股东大会审议通过之日起</w:t>
      </w:r>
      <w:r>
        <w:rPr>
          <w:kern w:val="0"/>
          <w:sz w:val="24"/>
        </w:rPr>
        <w:t>12</w:t>
      </w:r>
      <w:r>
        <w:rPr>
          <w:kern w:val="0"/>
          <w:sz w:val="24"/>
        </w:rPr>
        <w:t>个月。</w:t>
      </w:r>
    </w:p>
    <w:p w14:paraId="40963609"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9</w:t>
      </w:r>
      <w:r>
        <w:rPr>
          <w:kern w:val="0"/>
          <w:sz w:val="24"/>
        </w:rPr>
        <w:t>、根据中国证监会《上市公司监管指引第</w:t>
      </w:r>
      <w:r>
        <w:rPr>
          <w:kern w:val="0"/>
          <w:sz w:val="24"/>
        </w:rPr>
        <w:t>3</w:t>
      </w:r>
      <w:r>
        <w:rPr>
          <w:kern w:val="0"/>
          <w:sz w:val="24"/>
        </w:rPr>
        <w:t>号</w:t>
      </w:r>
      <w:r>
        <w:rPr>
          <w:rFonts w:hint="eastAsia"/>
          <w:kern w:val="0"/>
          <w:sz w:val="24"/>
        </w:rPr>
        <w:t>——</w:t>
      </w:r>
      <w:r>
        <w:rPr>
          <w:kern w:val="0"/>
          <w:sz w:val="24"/>
        </w:rPr>
        <w:t>上市公司现金分红》（证监会公</w:t>
      </w:r>
      <w:r w:rsidRPr="005D006A">
        <w:rPr>
          <w:rFonts w:ascii="宋体" w:hAnsi="宋体" w:hint="eastAsia"/>
          <w:kern w:val="0"/>
          <w:sz w:val="24"/>
        </w:rPr>
        <w:t>告</w:t>
      </w:r>
      <w:r w:rsidRPr="005D006A">
        <w:rPr>
          <w:rFonts w:ascii="宋体" w:hAnsi="宋体"/>
          <w:kern w:val="0"/>
          <w:sz w:val="24"/>
        </w:rPr>
        <w:t>[2022]3</w:t>
      </w:r>
      <w:r w:rsidRPr="005D006A">
        <w:rPr>
          <w:rFonts w:ascii="宋体" w:hAnsi="宋体" w:hint="eastAsia"/>
          <w:kern w:val="0"/>
          <w:sz w:val="24"/>
        </w:rPr>
        <w:t>号</w:t>
      </w:r>
      <w:r>
        <w:rPr>
          <w:kern w:val="0"/>
          <w:sz w:val="24"/>
        </w:rPr>
        <w:t>）</w:t>
      </w:r>
      <w:r>
        <w:rPr>
          <w:rFonts w:hint="eastAsia"/>
          <w:kern w:val="0"/>
          <w:sz w:val="24"/>
        </w:rPr>
        <w:t>、</w:t>
      </w:r>
      <w:r>
        <w:rPr>
          <w:kern w:val="0"/>
          <w:sz w:val="24"/>
        </w:rPr>
        <w:t>《关于进一步落实上市公司现金分红有关事项的通知》（证监</w:t>
      </w:r>
      <w:r w:rsidRPr="005D006A">
        <w:rPr>
          <w:rFonts w:ascii="宋体" w:hAnsi="宋体" w:hint="eastAsia"/>
          <w:kern w:val="0"/>
          <w:sz w:val="24"/>
        </w:rPr>
        <w:t>发</w:t>
      </w:r>
      <w:r w:rsidRPr="005D006A">
        <w:rPr>
          <w:rFonts w:ascii="宋体" w:hAnsi="宋体"/>
          <w:kern w:val="0"/>
          <w:sz w:val="24"/>
        </w:rPr>
        <w:t>[2012]37</w:t>
      </w:r>
      <w:r w:rsidRPr="005D006A">
        <w:rPr>
          <w:rFonts w:ascii="宋体" w:hAnsi="宋体" w:hint="eastAsia"/>
          <w:kern w:val="0"/>
          <w:sz w:val="24"/>
        </w:rPr>
        <w:t>号</w:t>
      </w:r>
      <w:r>
        <w:rPr>
          <w:kern w:val="0"/>
          <w:sz w:val="24"/>
        </w:rPr>
        <w:t>）的相关规定，关于公司的利润分配政策、公司最近三年的现金分红情况、公司未来股东回报规划情况详见本预案</w:t>
      </w:r>
      <w:r>
        <w:rPr>
          <w:kern w:val="0"/>
          <w:sz w:val="24"/>
        </w:rPr>
        <w:t>“</w:t>
      </w:r>
      <w:r>
        <w:rPr>
          <w:kern w:val="0"/>
          <w:sz w:val="24"/>
        </w:rPr>
        <w:t>第</w:t>
      </w:r>
      <w:r>
        <w:rPr>
          <w:rFonts w:hint="eastAsia"/>
          <w:kern w:val="0"/>
          <w:sz w:val="24"/>
        </w:rPr>
        <w:t>六</w:t>
      </w:r>
      <w:r>
        <w:rPr>
          <w:kern w:val="0"/>
          <w:sz w:val="24"/>
        </w:rPr>
        <w:t>节</w:t>
      </w:r>
      <w:r>
        <w:rPr>
          <w:kern w:val="0"/>
          <w:sz w:val="24"/>
        </w:rPr>
        <w:t xml:space="preserve"> </w:t>
      </w:r>
      <w:r>
        <w:rPr>
          <w:kern w:val="0"/>
          <w:sz w:val="24"/>
        </w:rPr>
        <w:t>公司股利分配政策及股利分配情况</w:t>
      </w:r>
      <w:r>
        <w:rPr>
          <w:kern w:val="0"/>
          <w:sz w:val="24"/>
        </w:rPr>
        <w:t>”</w:t>
      </w:r>
      <w:r>
        <w:rPr>
          <w:kern w:val="0"/>
          <w:sz w:val="24"/>
        </w:rPr>
        <w:t>，请投资者予以关注。</w:t>
      </w:r>
    </w:p>
    <w:p w14:paraId="5DA3CA97" w14:textId="3406EE1F"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10</w:t>
      </w:r>
      <w:r>
        <w:rPr>
          <w:kern w:val="0"/>
          <w:sz w:val="24"/>
        </w:rPr>
        <w:t>、根据</w:t>
      </w:r>
      <w:r>
        <w:rPr>
          <w:rFonts w:hint="eastAsia"/>
          <w:kern w:val="0"/>
          <w:sz w:val="24"/>
        </w:rPr>
        <w:t>《国务院办公厅关于进一步加强资本市场中小投资者合法权益保护工作的意见》（</w:t>
      </w:r>
      <w:r w:rsidRPr="005D006A">
        <w:rPr>
          <w:rFonts w:asciiTheme="minorEastAsia" w:eastAsiaTheme="minorEastAsia" w:hAnsiTheme="minorEastAsia" w:hint="eastAsia"/>
          <w:kern w:val="0"/>
          <w:sz w:val="24"/>
        </w:rPr>
        <w:t>国办发</w:t>
      </w:r>
      <w:r w:rsidRPr="005D006A">
        <w:rPr>
          <w:rFonts w:asciiTheme="minorEastAsia" w:eastAsiaTheme="minorEastAsia" w:hAnsiTheme="minorEastAsia"/>
          <w:kern w:val="0"/>
          <w:sz w:val="24"/>
        </w:rPr>
        <w:t>[2013]110</w:t>
      </w:r>
      <w:r w:rsidRPr="005D006A">
        <w:rPr>
          <w:rFonts w:asciiTheme="minorEastAsia" w:eastAsiaTheme="minorEastAsia" w:hAnsiTheme="minorEastAsia" w:hint="eastAsia"/>
          <w:kern w:val="0"/>
          <w:sz w:val="24"/>
        </w:rPr>
        <w:t>号</w:t>
      </w:r>
      <w:r>
        <w:rPr>
          <w:rFonts w:hint="eastAsia"/>
          <w:kern w:val="0"/>
          <w:sz w:val="24"/>
        </w:rPr>
        <w:t>）、《国务院关于进一步促进资本市场健康发展的若干意见》（</w:t>
      </w:r>
      <w:r w:rsidRPr="005D006A">
        <w:rPr>
          <w:rFonts w:ascii="宋体" w:hAnsi="宋体" w:hint="eastAsia"/>
          <w:kern w:val="0"/>
          <w:sz w:val="24"/>
        </w:rPr>
        <w:t>国发</w:t>
      </w:r>
      <w:r w:rsidRPr="005D006A">
        <w:rPr>
          <w:rFonts w:ascii="宋体" w:hAnsi="宋体"/>
          <w:kern w:val="0"/>
          <w:sz w:val="24"/>
        </w:rPr>
        <w:t>[2014]17</w:t>
      </w:r>
      <w:r w:rsidRPr="005D006A">
        <w:rPr>
          <w:rFonts w:ascii="宋体" w:hAnsi="宋体" w:hint="eastAsia"/>
          <w:kern w:val="0"/>
          <w:sz w:val="24"/>
        </w:rPr>
        <w:t>号）</w:t>
      </w:r>
      <w:r>
        <w:rPr>
          <w:rFonts w:hint="eastAsia"/>
          <w:kern w:val="0"/>
          <w:sz w:val="24"/>
        </w:rPr>
        <w:t>以及《关于首发及再融资、重大资产重组摊薄即期回报有关事项的指导意见》</w:t>
      </w:r>
      <w:r w:rsidRPr="005D006A">
        <w:rPr>
          <w:rFonts w:asciiTheme="minorEastAsia" w:eastAsiaTheme="minorEastAsia" w:hAnsiTheme="minorEastAsia" w:hint="eastAsia"/>
          <w:kern w:val="0"/>
          <w:sz w:val="24"/>
        </w:rPr>
        <w:t>（证监会公告</w:t>
      </w:r>
      <w:r w:rsidRPr="005D006A">
        <w:rPr>
          <w:rFonts w:asciiTheme="minorEastAsia" w:eastAsiaTheme="minorEastAsia" w:hAnsiTheme="minorEastAsia"/>
          <w:kern w:val="0"/>
          <w:sz w:val="24"/>
        </w:rPr>
        <w:t>[2015]31</w:t>
      </w:r>
      <w:r w:rsidRPr="005D006A">
        <w:rPr>
          <w:rFonts w:asciiTheme="minorEastAsia" w:eastAsiaTheme="minorEastAsia" w:hAnsiTheme="minorEastAsia" w:hint="eastAsia"/>
          <w:kern w:val="0"/>
          <w:sz w:val="24"/>
        </w:rPr>
        <w:t>号</w:t>
      </w:r>
      <w:r>
        <w:rPr>
          <w:rFonts w:hint="eastAsia"/>
          <w:kern w:val="0"/>
          <w:sz w:val="24"/>
        </w:rPr>
        <w:t>）</w:t>
      </w:r>
      <w:r>
        <w:rPr>
          <w:kern w:val="0"/>
          <w:sz w:val="24"/>
        </w:rPr>
        <w:t>等文件的有关规定，公司就本次发行对即期回报摊薄的影响进行了认真分析，并将采取多种措施保证</w:t>
      </w:r>
      <w:r w:rsidR="00805C22">
        <w:rPr>
          <w:rFonts w:hint="eastAsia"/>
          <w:kern w:val="0"/>
          <w:sz w:val="24"/>
        </w:rPr>
        <w:t>本次</w:t>
      </w:r>
      <w:r>
        <w:rPr>
          <w:kern w:val="0"/>
          <w:sz w:val="24"/>
        </w:rPr>
        <w:t>募集资金有效使用、有效防范即期回报被摊薄的风险、提高未来的回报能力。有关内容详见本预案</w:t>
      </w:r>
      <w:r>
        <w:rPr>
          <w:kern w:val="0"/>
          <w:sz w:val="24"/>
        </w:rPr>
        <w:t>“</w:t>
      </w:r>
      <w:r>
        <w:rPr>
          <w:kern w:val="0"/>
          <w:sz w:val="24"/>
        </w:rPr>
        <w:t>第</w:t>
      </w:r>
      <w:r>
        <w:rPr>
          <w:rFonts w:hint="eastAsia"/>
          <w:kern w:val="0"/>
          <w:sz w:val="24"/>
        </w:rPr>
        <w:t>七节</w:t>
      </w:r>
      <w:r>
        <w:rPr>
          <w:kern w:val="0"/>
          <w:sz w:val="24"/>
        </w:rPr>
        <w:t xml:space="preserve"> </w:t>
      </w:r>
      <w:r>
        <w:rPr>
          <w:kern w:val="0"/>
          <w:sz w:val="24"/>
        </w:rPr>
        <w:t>关于本次非公开发行股票摊薄即期回报的风险提示及拟采取的填补措施</w:t>
      </w:r>
      <w:r>
        <w:rPr>
          <w:kern w:val="0"/>
          <w:sz w:val="24"/>
        </w:rPr>
        <w:t>”</w:t>
      </w:r>
      <w:r>
        <w:rPr>
          <w:kern w:val="0"/>
          <w:sz w:val="24"/>
        </w:rPr>
        <w:t>。</w:t>
      </w:r>
    </w:p>
    <w:p w14:paraId="6F9FDC18"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公司所制定的填补回报措施不等于对公司未来利润做出保证。投资者不应据此进行投资决策，投资者据此进行投资决策造成损失的，公司不承担赔偿责任，提请广大投资者注意。</w:t>
      </w:r>
    </w:p>
    <w:p w14:paraId="62CB6B5E" w14:textId="77777777" w:rsidR="00D26039" w:rsidRDefault="00B30650">
      <w:pPr>
        <w:autoSpaceDE w:val="0"/>
        <w:adjustRightInd w:val="0"/>
        <w:spacing w:beforeLines="50" w:before="156" w:afterLines="50" w:after="156" w:line="360" w:lineRule="auto"/>
        <w:ind w:firstLineChars="200" w:firstLine="480"/>
        <w:rPr>
          <w:rFonts w:ascii="宋体" w:hAnsi="宋体"/>
          <w:kern w:val="0"/>
          <w:sz w:val="24"/>
        </w:rPr>
      </w:pPr>
      <w:r>
        <w:rPr>
          <w:rFonts w:hint="eastAsia"/>
          <w:kern w:val="0"/>
          <w:sz w:val="24"/>
        </w:rPr>
        <w:t>1</w:t>
      </w:r>
      <w:r>
        <w:rPr>
          <w:kern w:val="0"/>
          <w:sz w:val="24"/>
        </w:rPr>
        <w:t>1</w:t>
      </w:r>
      <w:r>
        <w:rPr>
          <w:rFonts w:hint="eastAsia"/>
          <w:kern w:val="0"/>
          <w:sz w:val="24"/>
        </w:rPr>
        <w:t>、</w:t>
      </w:r>
      <w:r>
        <w:rPr>
          <w:kern w:val="0"/>
          <w:sz w:val="24"/>
        </w:rPr>
        <w:t>根据相关规定，本次非公开发行股票的方案</w:t>
      </w:r>
      <w:r>
        <w:rPr>
          <w:rFonts w:hint="eastAsia"/>
          <w:kern w:val="0"/>
          <w:sz w:val="24"/>
        </w:rPr>
        <w:t>尚需有权国资审批单位批准、</w:t>
      </w:r>
      <w:r>
        <w:rPr>
          <w:kern w:val="0"/>
          <w:sz w:val="24"/>
        </w:rPr>
        <w:t>公司股东大会</w:t>
      </w:r>
      <w:r>
        <w:rPr>
          <w:rFonts w:hint="eastAsia"/>
          <w:kern w:val="0"/>
          <w:sz w:val="24"/>
        </w:rPr>
        <w:t>审议通过</w:t>
      </w:r>
      <w:r>
        <w:rPr>
          <w:kern w:val="0"/>
          <w:sz w:val="24"/>
        </w:rPr>
        <w:t>，并需经过中国证监会的核准后方可实施，所以存在不确定性风险。</w:t>
      </w:r>
      <w:r>
        <w:rPr>
          <w:kern w:val="0"/>
          <w:sz w:val="24"/>
        </w:rPr>
        <w:br w:type="page"/>
      </w:r>
    </w:p>
    <w:p w14:paraId="30E2EFA8" w14:textId="77777777" w:rsidR="00D26039" w:rsidRDefault="00B30650">
      <w:pPr>
        <w:pStyle w:val="1"/>
        <w:autoSpaceDE w:val="0"/>
        <w:spacing w:beforeLines="50" w:before="156" w:afterLines="50" w:after="156" w:line="360" w:lineRule="auto"/>
      </w:pPr>
      <w:bookmarkStart w:id="16" w:name="_Toc111905393"/>
      <w:r>
        <w:lastRenderedPageBreak/>
        <w:t>释义</w:t>
      </w:r>
      <w:bookmarkEnd w:id="16"/>
    </w:p>
    <w:p w14:paraId="0D10D933" w14:textId="77777777" w:rsidR="00D26039" w:rsidRDefault="00B30650">
      <w:pPr>
        <w:autoSpaceDE w:val="0"/>
        <w:adjustRightInd w:val="0"/>
        <w:spacing w:beforeLines="50" w:before="156" w:afterLines="50" w:after="156" w:line="360" w:lineRule="auto"/>
        <w:ind w:firstLineChars="200" w:firstLine="480"/>
        <w:jc w:val="left"/>
        <w:rPr>
          <w:kern w:val="0"/>
          <w:sz w:val="24"/>
        </w:rPr>
      </w:pPr>
      <w:r>
        <w:rPr>
          <w:kern w:val="0"/>
          <w:sz w:val="24"/>
        </w:rPr>
        <w:t>本预案中，除非另有说明，下列词汇具有如下含义：</w:t>
      </w:r>
    </w:p>
    <w:tbl>
      <w:tblPr>
        <w:tblW w:w="5000" w:type="pct"/>
        <w:jc w:val="center"/>
        <w:tblBorders>
          <w:top w:val="double" w:sz="4" w:space="0" w:color="auto"/>
          <w:left w:val="double" w:sz="2" w:space="0" w:color="auto"/>
          <w:bottom w:val="double" w:sz="4" w:space="0" w:color="auto"/>
          <w:right w:val="double" w:sz="2" w:space="0" w:color="auto"/>
          <w:insideH w:val="single" w:sz="2" w:space="0" w:color="auto"/>
          <w:insideV w:val="single" w:sz="2" w:space="0" w:color="auto"/>
        </w:tblBorders>
        <w:tblLook w:val="04A0" w:firstRow="1" w:lastRow="0" w:firstColumn="1" w:lastColumn="0" w:noHBand="0" w:noVBand="1"/>
      </w:tblPr>
      <w:tblGrid>
        <w:gridCol w:w="2518"/>
        <w:gridCol w:w="567"/>
        <w:gridCol w:w="5437"/>
      </w:tblGrid>
      <w:tr w:rsidR="00D26039" w14:paraId="6A77546F" w14:textId="77777777">
        <w:trPr>
          <w:trHeight w:val="397"/>
          <w:jc w:val="center"/>
        </w:trPr>
        <w:tc>
          <w:tcPr>
            <w:tcW w:w="2518" w:type="dxa"/>
            <w:shd w:val="clear" w:color="auto" w:fill="auto"/>
            <w:vAlign w:val="center"/>
          </w:tcPr>
          <w:p w14:paraId="5A6932D9" w14:textId="77777777" w:rsidR="00D26039" w:rsidRDefault="00B30650">
            <w:pPr>
              <w:tabs>
                <w:tab w:val="left" w:pos="1133"/>
              </w:tabs>
              <w:autoSpaceDE w:val="0"/>
              <w:adjustRightInd w:val="0"/>
              <w:rPr>
                <w:kern w:val="0"/>
                <w:szCs w:val="21"/>
              </w:rPr>
            </w:pPr>
            <w:r>
              <w:rPr>
                <w:kern w:val="0"/>
                <w:szCs w:val="21"/>
              </w:rPr>
              <w:t>本公司</w:t>
            </w:r>
            <w:r>
              <w:rPr>
                <w:kern w:val="0"/>
                <w:szCs w:val="21"/>
              </w:rPr>
              <w:t>/</w:t>
            </w:r>
            <w:r>
              <w:rPr>
                <w:kern w:val="0"/>
                <w:szCs w:val="21"/>
              </w:rPr>
              <w:t>公司</w:t>
            </w:r>
            <w:r>
              <w:rPr>
                <w:kern w:val="0"/>
                <w:szCs w:val="21"/>
              </w:rPr>
              <w:t>/</w:t>
            </w:r>
            <w:r>
              <w:rPr>
                <w:kern w:val="0"/>
                <w:szCs w:val="21"/>
              </w:rPr>
              <w:t>上市公司</w:t>
            </w:r>
            <w:r>
              <w:rPr>
                <w:kern w:val="0"/>
                <w:szCs w:val="21"/>
              </w:rPr>
              <w:t>/</w:t>
            </w:r>
            <w:r>
              <w:rPr>
                <w:kern w:val="0"/>
                <w:szCs w:val="21"/>
              </w:rPr>
              <w:t>发行人</w:t>
            </w:r>
            <w:r>
              <w:rPr>
                <w:kern w:val="0"/>
                <w:szCs w:val="21"/>
              </w:rPr>
              <w:t>/</w:t>
            </w:r>
            <w:r>
              <w:rPr>
                <w:rFonts w:hint="eastAsia"/>
                <w:kern w:val="0"/>
                <w:szCs w:val="21"/>
              </w:rPr>
              <w:t>铜峰电子</w:t>
            </w:r>
          </w:p>
        </w:tc>
        <w:tc>
          <w:tcPr>
            <w:tcW w:w="567" w:type="dxa"/>
            <w:shd w:val="clear" w:color="auto" w:fill="auto"/>
            <w:vAlign w:val="center"/>
          </w:tcPr>
          <w:p w14:paraId="10D086F3" w14:textId="77777777" w:rsidR="00D26039" w:rsidRDefault="00B30650">
            <w:pPr>
              <w:tabs>
                <w:tab w:val="left" w:pos="1133"/>
              </w:tabs>
              <w:autoSpaceDE w:val="0"/>
              <w:adjustRightInd w:val="0"/>
              <w:jc w:val="center"/>
              <w:rPr>
                <w:kern w:val="0"/>
                <w:szCs w:val="21"/>
              </w:rPr>
            </w:pPr>
            <w:r>
              <w:rPr>
                <w:kern w:val="0"/>
                <w:szCs w:val="21"/>
              </w:rPr>
              <w:t>指</w:t>
            </w:r>
          </w:p>
        </w:tc>
        <w:tc>
          <w:tcPr>
            <w:tcW w:w="5437" w:type="dxa"/>
            <w:shd w:val="clear" w:color="auto" w:fill="auto"/>
            <w:vAlign w:val="center"/>
          </w:tcPr>
          <w:p w14:paraId="2AD5E322" w14:textId="77777777" w:rsidR="00D26039" w:rsidRDefault="00B30650">
            <w:pPr>
              <w:tabs>
                <w:tab w:val="left" w:pos="1133"/>
              </w:tabs>
              <w:autoSpaceDE w:val="0"/>
              <w:adjustRightInd w:val="0"/>
              <w:rPr>
                <w:kern w:val="0"/>
                <w:szCs w:val="21"/>
              </w:rPr>
            </w:pPr>
            <w:r>
              <w:rPr>
                <w:rFonts w:hint="eastAsia"/>
                <w:kern w:val="0"/>
                <w:szCs w:val="21"/>
              </w:rPr>
              <w:t>安徽铜峰电子股份有限公司</w:t>
            </w:r>
          </w:p>
        </w:tc>
      </w:tr>
      <w:tr w:rsidR="00D26039" w14:paraId="41BADD7D" w14:textId="77777777">
        <w:trPr>
          <w:trHeight w:val="397"/>
          <w:jc w:val="center"/>
        </w:trPr>
        <w:tc>
          <w:tcPr>
            <w:tcW w:w="2518" w:type="dxa"/>
            <w:shd w:val="clear" w:color="auto" w:fill="auto"/>
            <w:vAlign w:val="center"/>
          </w:tcPr>
          <w:p w14:paraId="7EEF124B" w14:textId="783BE8E5" w:rsidR="00D26039" w:rsidRDefault="00C87478" w:rsidP="00C87478">
            <w:pPr>
              <w:tabs>
                <w:tab w:val="left" w:pos="1133"/>
              </w:tabs>
              <w:autoSpaceDE w:val="0"/>
              <w:adjustRightInd w:val="0"/>
              <w:rPr>
                <w:kern w:val="0"/>
                <w:szCs w:val="21"/>
              </w:rPr>
            </w:pPr>
            <w:r>
              <w:rPr>
                <w:kern w:val="0"/>
                <w:szCs w:val="21"/>
              </w:rPr>
              <w:t>本次非公开发行</w:t>
            </w:r>
            <w:r>
              <w:rPr>
                <w:kern w:val="0"/>
                <w:szCs w:val="21"/>
              </w:rPr>
              <w:t>A</w:t>
            </w:r>
            <w:proofErr w:type="gramStart"/>
            <w:r>
              <w:rPr>
                <w:kern w:val="0"/>
                <w:szCs w:val="21"/>
              </w:rPr>
              <w:t>股</w:t>
            </w:r>
            <w:proofErr w:type="gramEnd"/>
            <w:r>
              <w:rPr>
                <w:kern w:val="0"/>
                <w:szCs w:val="21"/>
              </w:rPr>
              <w:t>股票</w:t>
            </w:r>
            <w:r>
              <w:rPr>
                <w:kern w:val="0"/>
                <w:szCs w:val="21"/>
              </w:rPr>
              <w:t>/</w:t>
            </w:r>
            <w:r w:rsidR="00B30650">
              <w:rPr>
                <w:kern w:val="0"/>
                <w:szCs w:val="21"/>
              </w:rPr>
              <w:t>本次非公开发行股票</w:t>
            </w:r>
            <w:r w:rsidR="00B30650">
              <w:rPr>
                <w:kern w:val="0"/>
                <w:szCs w:val="21"/>
              </w:rPr>
              <w:t>/</w:t>
            </w:r>
            <w:r w:rsidR="00B30650">
              <w:rPr>
                <w:rFonts w:hint="eastAsia"/>
                <w:kern w:val="0"/>
                <w:szCs w:val="21"/>
              </w:rPr>
              <w:t>本次</w:t>
            </w:r>
            <w:r w:rsidR="00B30650">
              <w:rPr>
                <w:kern w:val="0"/>
                <w:szCs w:val="21"/>
              </w:rPr>
              <w:t>非公开发行</w:t>
            </w:r>
            <w:r w:rsidR="00B30650">
              <w:rPr>
                <w:kern w:val="0"/>
                <w:szCs w:val="21"/>
              </w:rPr>
              <w:t>/</w:t>
            </w:r>
            <w:r w:rsidR="00B30650">
              <w:rPr>
                <w:kern w:val="0"/>
                <w:szCs w:val="21"/>
              </w:rPr>
              <w:t>本次发行</w:t>
            </w:r>
          </w:p>
        </w:tc>
        <w:tc>
          <w:tcPr>
            <w:tcW w:w="567" w:type="dxa"/>
            <w:shd w:val="clear" w:color="auto" w:fill="auto"/>
            <w:vAlign w:val="center"/>
          </w:tcPr>
          <w:p w14:paraId="349DBDA2" w14:textId="77777777" w:rsidR="00D26039" w:rsidRDefault="00B30650">
            <w:pPr>
              <w:tabs>
                <w:tab w:val="left" w:pos="1133"/>
              </w:tabs>
              <w:autoSpaceDE w:val="0"/>
              <w:adjustRightInd w:val="0"/>
              <w:jc w:val="center"/>
              <w:rPr>
                <w:kern w:val="0"/>
                <w:szCs w:val="21"/>
              </w:rPr>
            </w:pPr>
            <w:r>
              <w:rPr>
                <w:kern w:val="0"/>
                <w:szCs w:val="21"/>
              </w:rPr>
              <w:t>指</w:t>
            </w:r>
          </w:p>
        </w:tc>
        <w:tc>
          <w:tcPr>
            <w:tcW w:w="5437" w:type="dxa"/>
            <w:shd w:val="clear" w:color="auto" w:fill="auto"/>
            <w:vAlign w:val="center"/>
          </w:tcPr>
          <w:p w14:paraId="2280C965" w14:textId="77777777" w:rsidR="00D26039" w:rsidRDefault="00B30650">
            <w:pPr>
              <w:tabs>
                <w:tab w:val="left" w:pos="1133"/>
              </w:tabs>
              <w:autoSpaceDE w:val="0"/>
              <w:adjustRightInd w:val="0"/>
              <w:rPr>
                <w:kern w:val="0"/>
                <w:szCs w:val="21"/>
              </w:rPr>
            </w:pPr>
            <w:r>
              <w:rPr>
                <w:rFonts w:hint="eastAsia"/>
                <w:kern w:val="0"/>
                <w:szCs w:val="21"/>
              </w:rPr>
              <w:t>铜峰电子</w:t>
            </w:r>
            <w:r>
              <w:rPr>
                <w:kern w:val="0"/>
                <w:szCs w:val="21"/>
              </w:rPr>
              <w:t>本次非公开发行人民币普通股（</w:t>
            </w:r>
            <w:r>
              <w:rPr>
                <w:kern w:val="0"/>
                <w:szCs w:val="21"/>
              </w:rPr>
              <w:t>A</w:t>
            </w:r>
            <w:r>
              <w:rPr>
                <w:kern w:val="0"/>
                <w:szCs w:val="21"/>
              </w:rPr>
              <w:t>股）的行为</w:t>
            </w:r>
          </w:p>
        </w:tc>
      </w:tr>
      <w:tr w:rsidR="00D26039" w14:paraId="48699E3E" w14:textId="77777777">
        <w:trPr>
          <w:trHeight w:val="397"/>
          <w:jc w:val="center"/>
        </w:trPr>
        <w:tc>
          <w:tcPr>
            <w:tcW w:w="2518" w:type="dxa"/>
            <w:shd w:val="clear" w:color="auto" w:fill="auto"/>
            <w:vAlign w:val="center"/>
          </w:tcPr>
          <w:p w14:paraId="38CFEE49" w14:textId="77777777" w:rsidR="00D26039" w:rsidRDefault="00B30650">
            <w:pPr>
              <w:tabs>
                <w:tab w:val="left" w:pos="1133"/>
              </w:tabs>
              <w:autoSpaceDE w:val="0"/>
              <w:adjustRightInd w:val="0"/>
              <w:rPr>
                <w:kern w:val="0"/>
                <w:szCs w:val="21"/>
              </w:rPr>
            </w:pPr>
            <w:r>
              <w:rPr>
                <w:kern w:val="0"/>
                <w:szCs w:val="21"/>
              </w:rPr>
              <w:t>本预案</w:t>
            </w:r>
          </w:p>
        </w:tc>
        <w:tc>
          <w:tcPr>
            <w:tcW w:w="567" w:type="dxa"/>
            <w:shd w:val="clear" w:color="auto" w:fill="auto"/>
            <w:vAlign w:val="center"/>
          </w:tcPr>
          <w:p w14:paraId="1BF53340" w14:textId="77777777" w:rsidR="00D26039" w:rsidRDefault="00B30650">
            <w:pPr>
              <w:tabs>
                <w:tab w:val="left" w:pos="1133"/>
              </w:tabs>
              <w:autoSpaceDE w:val="0"/>
              <w:adjustRightInd w:val="0"/>
              <w:jc w:val="center"/>
              <w:rPr>
                <w:kern w:val="0"/>
                <w:szCs w:val="21"/>
              </w:rPr>
            </w:pPr>
            <w:r>
              <w:rPr>
                <w:kern w:val="0"/>
                <w:szCs w:val="21"/>
              </w:rPr>
              <w:t>指</w:t>
            </w:r>
          </w:p>
        </w:tc>
        <w:tc>
          <w:tcPr>
            <w:tcW w:w="5437" w:type="dxa"/>
            <w:shd w:val="clear" w:color="auto" w:fill="auto"/>
            <w:vAlign w:val="center"/>
          </w:tcPr>
          <w:p w14:paraId="28BBD1BA" w14:textId="6E07DE04" w:rsidR="00D26039" w:rsidRDefault="00B30650">
            <w:pPr>
              <w:tabs>
                <w:tab w:val="left" w:pos="1133"/>
              </w:tabs>
              <w:autoSpaceDE w:val="0"/>
              <w:adjustRightInd w:val="0"/>
              <w:rPr>
                <w:kern w:val="0"/>
                <w:szCs w:val="21"/>
              </w:rPr>
            </w:pPr>
            <w:r>
              <w:rPr>
                <w:rFonts w:hint="eastAsia"/>
                <w:kern w:val="0"/>
                <w:szCs w:val="21"/>
              </w:rPr>
              <w:t>铜峰电子</w:t>
            </w:r>
            <w:r>
              <w:rPr>
                <w:rFonts w:eastAsiaTheme="minorEastAsia" w:hint="eastAsia"/>
                <w:kern w:val="0"/>
                <w:szCs w:val="21"/>
              </w:rPr>
              <w:t>202</w:t>
            </w:r>
            <w:r>
              <w:rPr>
                <w:rFonts w:eastAsiaTheme="minorEastAsia"/>
                <w:kern w:val="0"/>
                <w:szCs w:val="21"/>
              </w:rPr>
              <w:t>2</w:t>
            </w:r>
            <w:r>
              <w:rPr>
                <w:rFonts w:asciiTheme="minorEastAsia" w:eastAsiaTheme="minorEastAsia" w:hAnsiTheme="minorEastAsia" w:hint="eastAsia"/>
                <w:kern w:val="0"/>
                <w:szCs w:val="21"/>
              </w:rPr>
              <w:t>年度</w:t>
            </w:r>
            <w:r>
              <w:rPr>
                <w:rFonts w:asciiTheme="minorEastAsia" w:eastAsiaTheme="minorEastAsia" w:hAnsiTheme="minorEastAsia"/>
                <w:kern w:val="0"/>
                <w:szCs w:val="21"/>
              </w:rPr>
              <w:t>非公</w:t>
            </w:r>
            <w:r>
              <w:rPr>
                <w:kern w:val="0"/>
                <w:szCs w:val="21"/>
              </w:rPr>
              <w:t>开发行</w:t>
            </w:r>
            <w:r w:rsidR="00C87478">
              <w:rPr>
                <w:kern w:val="0"/>
                <w:szCs w:val="21"/>
              </w:rPr>
              <w:t>A</w:t>
            </w:r>
            <w:r w:rsidR="00C87478">
              <w:rPr>
                <w:kern w:val="0"/>
                <w:szCs w:val="21"/>
              </w:rPr>
              <w:t>股</w:t>
            </w:r>
            <w:r>
              <w:rPr>
                <w:kern w:val="0"/>
                <w:szCs w:val="21"/>
              </w:rPr>
              <w:t>股票预案</w:t>
            </w:r>
          </w:p>
        </w:tc>
      </w:tr>
      <w:tr w:rsidR="00D26039" w14:paraId="47ADB646" w14:textId="77777777">
        <w:trPr>
          <w:trHeight w:val="397"/>
          <w:jc w:val="center"/>
        </w:trPr>
        <w:tc>
          <w:tcPr>
            <w:tcW w:w="2518" w:type="dxa"/>
            <w:shd w:val="clear" w:color="auto" w:fill="auto"/>
            <w:vAlign w:val="center"/>
          </w:tcPr>
          <w:p w14:paraId="16E889EA" w14:textId="77777777" w:rsidR="00D26039" w:rsidRDefault="00B30650">
            <w:pPr>
              <w:tabs>
                <w:tab w:val="left" w:pos="1133"/>
              </w:tabs>
              <w:autoSpaceDE w:val="0"/>
              <w:adjustRightInd w:val="0"/>
              <w:rPr>
                <w:kern w:val="0"/>
                <w:szCs w:val="21"/>
              </w:rPr>
            </w:pPr>
            <w:r>
              <w:rPr>
                <w:rFonts w:hint="eastAsia"/>
                <w:kern w:val="0"/>
                <w:szCs w:val="21"/>
              </w:rPr>
              <w:t>大江投资</w:t>
            </w:r>
          </w:p>
        </w:tc>
        <w:tc>
          <w:tcPr>
            <w:tcW w:w="567" w:type="dxa"/>
            <w:shd w:val="clear" w:color="auto" w:fill="auto"/>
            <w:vAlign w:val="center"/>
          </w:tcPr>
          <w:p w14:paraId="71FFA43B" w14:textId="77777777" w:rsidR="00D26039" w:rsidRDefault="00B30650">
            <w:pPr>
              <w:tabs>
                <w:tab w:val="left" w:pos="1133"/>
              </w:tabs>
              <w:autoSpaceDE w:val="0"/>
              <w:adjustRightInd w:val="0"/>
              <w:jc w:val="center"/>
              <w:rPr>
                <w:kern w:val="0"/>
                <w:szCs w:val="21"/>
              </w:rPr>
            </w:pPr>
            <w:r>
              <w:rPr>
                <w:kern w:val="0"/>
                <w:szCs w:val="21"/>
              </w:rPr>
              <w:t>指</w:t>
            </w:r>
          </w:p>
        </w:tc>
        <w:tc>
          <w:tcPr>
            <w:tcW w:w="5437" w:type="dxa"/>
            <w:shd w:val="clear" w:color="auto" w:fill="auto"/>
            <w:vAlign w:val="center"/>
          </w:tcPr>
          <w:p w14:paraId="774C5D8C" w14:textId="77777777" w:rsidR="00D26039" w:rsidRDefault="00B30650">
            <w:pPr>
              <w:tabs>
                <w:tab w:val="left" w:pos="1133"/>
              </w:tabs>
              <w:autoSpaceDE w:val="0"/>
              <w:adjustRightInd w:val="0"/>
              <w:rPr>
                <w:rFonts w:ascii="宋体" w:hAnsi="宋体"/>
                <w:kern w:val="0"/>
                <w:szCs w:val="21"/>
              </w:rPr>
            </w:pPr>
            <w:r>
              <w:rPr>
                <w:rFonts w:hint="eastAsia"/>
                <w:szCs w:val="21"/>
              </w:rPr>
              <w:t>铜陵大江投资控股有限公司</w:t>
            </w:r>
            <w:r>
              <w:rPr>
                <w:rFonts w:ascii="宋体" w:hAnsi="宋体" w:hint="eastAsia"/>
                <w:color w:val="000000" w:themeColor="text1"/>
                <w:kern w:val="0"/>
                <w:szCs w:val="21"/>
              </w:rPr>
              <w:t>，持有铜峰电子</w:t>
            </w:r>
            <w:r>
              <w:rPr>
                <w:color w:val="000000" w:themeColor="text1"/>
                <w:kern w:val="0"/>
                <w:szCs w:val="21"/>
              </w:rPr>
              <w:t>19</w:t>
            </w:r>
            <w:r>
              <w:rPr>
                <w:rFonts w:ascii="宋体" w:hAnsi="宋体"/>
                <w:color w:val="000000" w:themeColor="text1"/>
                <w:kern w:val="0"/>
                <w:szCs w:val="21"/>
              </w:rPr>
              <w:t>.</w:t>
            </w:r>
            <w:r>
              <w:rPr>
                <w:color w:val="000000" w:themeColor="text1"/>
                <w:kern w:val="0"/>
                <w:szCs w:val="21"/>
              </w:rPr>
              <w:t>79</w:t>
            </w:r>
            <w:r>
              <w:rPr>
                <w:rFonts w:ascii="宋体" w:hAnsi="宋体"/>
                <w:color w:val="000000" w:themeColor="text1"/>
                <w:kern w:val="0"/>
                <w:szCs w:val="21"/>
              </w:rPr>
              <w:t>%</w:t>
            </w:r>
            <w:r>
              <w:rPr>
                <w:rFonts w:ascii="宋体" w:hAnsi="宋体" w:hint="eastAsia"/>
                <w:color w:val="000000" w:themeColor="text1"/>
                <w:kern w:val="0"/>
                <w:szCs w:val="21"/>
              </w:rPr>
              <w:t>的股份，为</w:t>
            </w:r>
            <w:r>
              <w:rPr>
                <w:rFonts w:hint="eastAsia"/>
                <w:kern w:val="0"/>
                <w:szCs w:val="21"/>
              </w:rPr>
              <w:t>公司</w:t>
            </w:r>
            <w:r>
              <w:rPr>
                <w:rFonts w:ascii="宋体" w:hAnsi="宋体" w:hint="eastAsia"/>
                <w:color w:val="000000" w:themeColor="text1"/>
                <w:kern w:val="0"/>
                <w:szCs w:val="21"/>
              </w:rPr>
              <w:t>控股股东</w:t>
            </w:r>
          </w:p>
        </w:tc>
      </w:tr>
      <w:tr w:rsidR="00D26039" w14:paraId="58CB13CF" w14:textId="77777777">
        <w:trPr>
          <w:trHeight w:val="397"/>
          <w:jc w:val="center"/>
        </w:trPr>
        <w:tc>
          <w:tcPr>
            <w:tcW w:w="2518" w:type="dxa"/>
            <w:shd w:val="clear" w:color="auto" w:fill="auto"/>
            <w:vAlign w:val="center"/>
          </w:tcPr>
          <w:p w14:paraId="6E36835A" w14:textId="77777777" w:rsidR="00D26039" w:rsidRDefault="00B30650">
            <w:pPr>
              <w:tabs>
                <w:tab w:val="left" w:pos="1133"/>
              </w:tabs>
              <w:autoSpaceDE w:val="0"/>
              <w:adjustRightInd w:val="0"/>
              <w:rPr>
                <w:kern w:val="0"/>
                <w:szCs w:val="21"/>
              </w:rPr>
            </w:pPr>
            <w:r>
              <w:rPr>
                <w:rFonts w:hint="eastAsia"/>
                <w:kern w:val="0"/>
                <w:szCs w:val="21"/>
              </w:rPr>
              <w:t>股份认购协议</w:t>
            </w:r>
          </w:p>
        </w:tc>
        <w:tc>
          <w:tcPr>
            <w:tcW w:w="567" w:type="dxa"/>
            <w:shd w:val="clear" w:color="auto" w:fill="auto"/>
            <w:vAlign w:val="center"/>
          </w:tcPr>
          <w:p w14:paraId="3C5A116D" w14:textId="77777777" w:rsidR="00D26039" w:rsidRDefault="00B30650">
            <w:pPr>
              <w:tabs>
                <w:tab w:val="left" w:pos="1133"/>
              </w:tabs>
              <w:autoSpaceDE w:val="0"/>
              <w:adjustRightInd w:val="0"/>
              <w:jc w:val="center"/>
              <w:rPr>
                <w:kern w:val="0"/>
                <w:szCs w:val="21"/>
              </w:rPr>
            </w:pPr>
            <w:r>
              <w:rPr>
                <w:kern w:val="0"/>
                <w:szCs w:val="21"/>
              </w:rPr>
              <w:t>指</w:t>
            </w:r>
          </w:p>
        </w:tc>
        <w:tc>
          <w:tcPr>
            <w:tcW w:w="5437" w:type="dxa"/>
            <w:shd w:val="clear" w:color="auto" w:fill="auto"/>
            <w:vAlign w:val="center"/>
          </w:tcPr>
          <w:p w14:paraId="665B54A4" w14:textId="77777777" w:rsidR="00D26039" w:rsidRDefault="00B30650">
            <w:pPr>
              <w:tabs>
                <w:tab w:val="left" w:pos="1133"/>
              </w:tabs>
              <w:autoSpaceDE w:val="0"/>
              <w:adjustRightInd w:val="0"/>
              <w:rPr>
                <w:szCs w:val="21"/>
              </w:rPr>
            </w:pPr>
            <w:r>
              <w:rPr>
                <w:rFonts w:hint="eastAsia"/>
                <w:szCs w:val="21"/>
              </w:rPr>
              <w:t>公司与</w:t>
            </w:r>
            <w:r>
              <w:rPr>
                <w:rFonts w:hint="eastAsia"/>
                <w:kern w:val="0"/>
                <w:szCs w:val="21"/>
              </w:rPr>
              <w:t>大江投资签署的</w:t>
            </w:r>
            <w:r>
              <w:rPr>
                <w:rFonts w:hint="eastAsia"/>
                <w:szCs w:val="21"/>
              </w:rPr>
              <w:t>《</w:t>
            </w:r>
            <w:bookmarkStart w:id="17" w:name="_Hlk111919285"/>
            <w:r>
              <w:rPr>
                <w:rFonts w:hint="eastAsia"/>
                <w:szCs w:val="21"/>
              </w:rPr>
              <w:t>附条件生效的股份认购协议</w:t>
            </w:r>
            <w:bookmarkEnd w:id="17"/>
            <w:r>
              <w:rPr>
                <w:rFonts w:hint="eastAsia"/>
                <w:szCs w:val="21"/>
              </w:rPr>
              <w:t>》</w:t>
            </w:r>
          </w:p>
        </w:tc>
      </w:tr>
      <w:tr w:rsidR="00D26039" w14:paraId="1267B16E" w14:textId="77777777">
        <w:trPr>
          <w:trHeight w:val="397"/>
          <w:jc w:val="center"/>
        </w:trPr>
        <w:tc>
          <w:tcPr>
            <w:tcW w:w="2518" w:type="dxa"/>
            <w:shd w:val="clear" w:color="auto" w:fill="auto"/>
            <w:vAlign w:val="center"/>
          </w:tcPr>
          <w:p w14:paraId="01C3CC30" w14:textId="77777777" w:rsidR="00D26039" w:rsidRDefault="00B30650">
            <w:pPr>
              <w:tabs>
                <w:tab w:val="left" w:pos="1133"/>
              </w:tabs>
              <w:autoSpaceDE w:val="0"/>
              <w:adjustRightInd w:val="0"/>
              <w:rPr>
                <w:kern w:val="0"/>
                <w:szCs w:val="21"/>
              </w:rPr>
            </w:pPr>
            <w:r>
              <w:rPr>
                <w:kern w:val="0"/>
                <w:szCs w:val="21"/>
              </w:rPr>
              <w:t>中国证监会</w:t>
            </w:r>
          </w:p>
        </w:tc>
        <w:tc>
          <w:tcPr>
            <w:tcW w:w="567" w:type="dxa"/>
            <w:shd w:val="clear" w:color="auto" w:fill="auto"/>
            <w:vAlign w:val="center"/>
          </w:tcPr>
          <w:p w14:paraId="4F7CF4B3" w14:textId="77777777" w:rsidR="00D26039" w:rsidRDefault="00B30650">
            <w:pPr>
              <w:tabs>
                <w:tab w:val="left" w:pos="1133"/>
              </w:tabs>
              <w:autoSpaceDE w:val="0"/>
              <w:adjustRightInd w:val="0"/>
              <w:jc w:val="center"/>
              <w:rPr>
                <w:kern w:val="0"/>
                <w:szCs w:val="21"/>
              </w:rPr>
            </w:pPr>
            <w:r>
              <w:rPr>
                <w:kern w:val="0"/>
                <w:szCs w:val="21"/>
              </w:rPr>
              <w:t>指</w:t>
            </w:r>
          </w:p>
        </w:tc>
        <w:tc>
          <w:tcPr>
            <w:tcW w:w="5437" w:type="dxa"/>
            <w:shd w:val="clear" w:color="auto" w:fill="auto"/>
            <w:vAlign w:val="center"/>
          </w:tcPr>
          <w:p w14:paraId="07C457C4" w14:textId="77777777" w:rsidR="00D26039" w:rsidRDefault="00B30650">
            <w:pPr>
              <w:tabs>
                <w:tab w:val="left" w:pos="1133"/>
              </w:tabs>
              <w:autoSpaceDE w:val="0"/>
              <w:adjustRightInd w:val="0"/>
              <w:rPr>
                <w:kern w:val="0"/>
                <w:szCs w:val="21"/>
              </w:rPr>
            </w:pPr>
            <w:r>
              <w:rPr>
                <w:kern w:val="0"/>
                <w:szCs w:val="21"/>
              </w:rPr>
              <w:t>中国证券监督管理委员会</w:t>
            </w:r>
          </w:p>
        </w:tc>
      </w:tr>
      <w:tr w:rsidR="00D26039" w14:paraId="06042C35" w14:textId="77777777">
        <w:trPr>
          <w:trHeight w:val="397"/>
          <w:jc w:val="center"/>
        </w:trPr>
        <w:tc>
          <w:tcPr>
            <w:tcW w:w="2518" w:type="dxa"/>
            <w:shd w:val="clear" w:color="auto" w:fill="auto"/>
            <w:vAlign w:val="center"/>
          </w:tcPr>
          <w:p w14:paraId="2F0E776B" w14:textId="77777777" w:rsidR="00D26039" w:rsidRDefault="00B30650">
            <w:pPr>
              <w:tabs>
                <w:tab w:val="left" w:pos="1133"/>
              </w:tabs>
              <w:autoSpaceDE w:val="0"/>
              <w:adjustRightInd w:val="0"/>
              <w:rPr>
                <w:kern w:val="0"/>
                <w:szCs w:val="21"/>
              </w:rPr>
            </w:pPr>
            <w:r>
              <w:rPr>
                <w:rFonts w:hint="eastAsia"/>
                <w:szCs w:val="21"/>
              </w:rPr>
              <w:t>上交所</w:t>
            </w:r>
          </w:p>
        </w:tc>
        <w:tc>
          <w:tcPr>
            <w:tcW w:w="567" w:type="dxa"/>
            <w:shd w:val="clear" w:color="auto" w:fill="auto"/>
            <w:vAlign w:val="center"/>
          </w:tcPr>
          <w:p w14:paraId="59080F06" w14:textId="77777777" w:rsidR="00D26039" w:rsidRDefault="00B30650">
            <w:pPr>
              <w:tabs>
                <w:tab w:val="left" w:pos="1133"/>
              </w:tabs>
              <w:autoSpaceDE w:val="0"/>
              <w:adjustRightInd w:val="0"/>
              <w:jc w:val="center"/>
              <w:rPr>
                <w:kern w:val="0"/>
                <w:szCs w:val="21"/>
              </w:rPr>
            </w:pPr>
            <w:r>
              <w:rPr>
                <w:rFonts w:hint="eastAsia"/>
                <w:szCs w:val="21"/>
              </w:rPr>
              <w:t>指</w:t>
            </w:r>
          </w:p>
        </w:tc>
        <w:tc>
          <w:tcPr>
            <w:tcW w:w="5437" w:type="dxa"/>
            <w:shd w:val="clear" w:color="auto" w:fill="auto"/>
            <w:vAlign w:val="center"/>
          </w:tcPr>
          <w:p w14:paraId="25353A24" w14:textId="77777777" w:rsidR="00D26039" w:rsidRDefault="00B30650">
            <w:pPr>
              <w:tabs>
                <w:tab w:val="left" w:pos="1133"/>
              </w:tabs>
              <w:autoSpaceDE w:val="0"/>
              <w:adjustRightInd w:val="0"/>
              <w:rPr>
                <w:kern w:val="0"/>
                <w:szCs w:val="21"/>
              </w:rPr>
            </w:pPr>
            <w:r>
              <w:rPr>
                <w:rFonts w:hint="eastAsia"/>
                <w:szCs w:val="21"/>
              </w:rPr>
              <w:t>上海证券交易所</w:t>
            </w:r>
          </w:p>
        </w:tc>
      </w:tr>
      <w:tr w:rsidR="00D26039" w14:paraId="316CB0BF" w14:textId="77777777">
        <w:trPr>
          <w:trHeight w:val="397"/>
          <w:jc w:val="center"/>
        </w:trPr>
        <w:tc>
          <w:tcPr>
            <w:tcW w:w="2518" w:type="dxa"/>
            <w:shd w:val="clear" w:color="auto" w:fill="auto"/>
            <w:vAlign w:val="center"/>
          </w:tcPr>
          <w:p w14:paraId="69209869" w14:textId="77777777" w:rsidR="00D26039" w:rsidRDefault="00B30650">
            <w:pPr>
              <w:tabs>
                <w:tab w:val="left" w:pos="1133"/>
              </w:tabs>
              <w:autoSpaceDE w:val="0"/>
              <w:adjustRightInd w:val="0"/>
              <w:rPr>
                <w:kern w:val="0"/>
                <w:szCs w:val="21"/>
              </w:rPr>
            </w:pPr>
            <w:r>
              <w:rPr>
                <w:rFonts w:hint="eastAsia"/>
                <w:szCs w:val="21"/>
              </w:rPr>
              <w:t>公司章程</w:t>
            </w:r>
          </w:p>
        </w:tc>
        <w:tc>
          <w:tcPr>
            <w:tcW w:w="567" w:type="dxa"/>
            <w:shd w:val="clear" w:color="auto" w:fill="auto"/>
            <w:vAlign w:val="center"/>
          </w:tcPr>
          <w:p w14:paraId="2283E5F6" w14:textId="77777777" w:rsidR="00D26039" w:rsidRDefault="00B30650">
            <w:pPr>
              <w:tabs>
                <w:tab w:val="left" w:pos="1133"/>
              </w:tabs>
              <w:autoSpaceDE w:val="0"/>
              <w:adjustRightInd w:val="0"/>
              <w:jc w:val="center"/>
              <w:rPr>
                <w:kern w:val="0"/>
                <w:szCs w:val="21"/>
              </w:rPr>
            </w:pPr>
            <w:r>
              <w:rPr>
                <w:rFonts w:hint="eastAsia"/>
                <w:szCs w:val="21"/>
              </w:rPr>
              <w:t>指</w:t>
            </w:r>
          </w:p>
        </w:tc>
        <w:tc>
          <w:tcPr>
            <w:tcW w:w="5437" w:type="dxa"/>
            <w:shd w:val="clear" w:color="auto" w:fill="auto"/>
            <w:vAlign w:val="center"/>
          </w:tcPr>
          <w:p w14:paraId="3919E4D6" w14:textId="77777777" w:rsidR="00D26039" w:rsidRDefault="00B30650">
            <w:pPr>
              <w:tabs>
                <w:tab w:val="left" w:pos="1133"/>
              </w:tabs>
              <w:autoSpaceDE w:val="0"/>
              <w:adjustRightInd w:val="0"/>
              <w:rPr>
                <w:kern w:val="0"/>
                <w:szCs w:val="21"/>
              </w:rPr>
            </w:pPr>
            <w:r>
              <w:rPr>
                <w:rFonts w:hint="eastAsia"/>
                <w:szCs w:val="21"/>
              </w:rPr>
              <w:t>《</w:t>
            </w:r>
            <w:r>
              <w:rPr>
                <w:rFonts w:hint="eastAsia"/>
                <w:kern w:val="0"/>
                <w:szCs w:val="21"/>
              </w:rPr>
              <w:t>安徽铜峰电子股份有限公司公司</w:t>
            </w:r>
            <w:r>
              <w:rPr>
                <w:rFonts w:hint="eastAsia"/>
                <w:szCs w:val="21"/>
              </w:rPr>
              <w:t>章程》</w:t>
            </w:r>
          </w:p>
        </w:tc>
      </w:tr>
      <w:tr w:rsidR="00D26039" w14:paraId="4FEB176E" w14:textId="77777777">
        <w:trPr>
          <w:trHeight w:val="397"/>
          <w:jc w:val="center"/>
        </w:trPr>
        <w:tc>
          <w:tcPr>
            <w:tcW w:w="2518" w:type="dxa"/>
            <w:shd w:val="clear" w:color="auto" w:fill="auto"/>
            <w:vAlign w:val="center"/>
          </w:tcPr>
          <w:p w14:paraId="31C56269" w14:textId="22552D2D" w:rsidR="00D26039" w:rsidRDefault="00EC2FA6">
            <w:pPr>
              <w:tabs>
                <w:tab w:val="left" w:pos="1133"/>
              </w:tabs>
              <w:autoSpaceDE w:val="0"/>
              <w:adjustRightInd w:val="0"/>
              <w:rPr>
                <w:szCs w:val="21"/>
              </w:rPr>
            </w:pPr>
            <w:r>
              <w:rPr>
                <w:rFonts w:hint="eastAsia"/>
                <w:kern w:val="0"/>
                <w:szCs w:val="21"/>
              </w:rPr>
              <w:t>《</w:t>
            </w:r>
            <w:r w:rsidR="00B30650">
              <w:rPr>
                <w:rFonts w:hint="eastAsia"/>
                <w:kern w:val="0"/>
                <w:szCs w:val="21"/>
              </w:rPr>
              <w:t>公司法</w:t>
            </w:r>
            <w:r>
              <w:rPr>
                <w:rFonts w:hint="eastAsia"/>
                <w:kern w:val="0"/>
                <w:szCs w:val="21"/>
              </w:rPr>
              <w:t>》</w:t>
            </w:r>
          </w:p>
        </w:tc>
        <w:tc>
          <w:tcPr>
            <w:tcW w:w="567" w:type="dxa"/>
            <w:shd w:val="clear" w:color="auto" w:fill="auto"/>
            <w:vAlign w:val="center"/>
          </w:tcPr>
          <w:p w14:paraId="7C5D1382" w14:textId="77777777" w:rsidR="00D26039" w:rsidRDefault="00B30650">
            <w:pPr>
              <w:tabs>
                <w:tab w:val="left" w:pos="1133"/>
              </w:tabs>
              <w:autoSpaceDE w:val="0"/>
              <w:adjustRightInd w:val="0"/>
              <w:jc w:val="center"/>
              <w:rPr>
                <w:szCs w:val="21"/>
              </w:rPr>
            </w:pPr>
            <w:r>
              <w:rPr>
                <w:rFonts w:hint="eastAsia"/>
                <w:szCs w:val="21"/>
              </w:rPr>
              <w:t>指</w:t>
            </w:r>
          </w:p>
        </w:tc>
        <w:tc>
          <w:tcPr>
            <w:tcW w:w="5437" w:type="dxa"/>
            <w:shd w:val="clear" w:color="auto" w:fill="auto"/>
            <w:vAlign w:val="center"/>
          </w:tcPr>
          <w:p w14:paraId="19C2595D" w14:textId="77777777" w:rsidR="00D26039" w:rsidRDefault="00B30650">
            <w:pPr>
              <w:tabs>
                <w:tab w:val="left" w:pos="1133"/>
              </w:tabs>
              <w:autoSpaceDE w:val="0"/>
              <w:adjustRightInd w:val="0"/>
              <w:rPr>
                <w:szCs w:val="21"/>
              </w:rPr>
            </w:pPr>
            <w:r>
              <w:rPr>
                <w:rFonts w:hint="eastAsia"/>
                <w:kern w:val="0"/>
                <w:szCs w:val="21"/>
              </w:rPr>
              <w:t>《中华人民共和国公司法》</w:t>
            </w:r>
          </w:p>
        </w:tc>
      </w:tr>
      <w:tr w:rsidR="00D26039" w14:paraId="2049EBE7" w14:textId="77777777">
        <w:trPr>
          <w:trHeight w:val="397"/>
          <w:jc w:val="center"/>
        </w:trPr>
        <w:tc>
          <w:tcPr>
            <w:tcW w:w="2518" w:type="dxa"/>
            <w:shd w:val="clear" w:color="auto" w:fill="auto"/>
            <w:vAlign w:val="center"/>
          </w:tcPr>
          <w:p w14:paraId="08EEBE37" w14:textId="7B7B525B" w:rsidR="00D26039" w:rsidRDefault="00EC2FA6">
            <w:pPr>
              <w:tabs>
                <w:tab w:val="left" w:pos="1133"/>
              </w:tabs>
              <w:autoSpaceDE w:val="0"/>
              <w:adjustRightInd w:val="0"/>
              <w:rPr>
                <w:szCs w:val="21"/>
              </w:rPr>
            </w:pPr>
            <w:r>
              <w:rPr>
                <w:rFonts w:hint="eastAsia"/>
                <w:szCs w:val="21"/>
              </w:rPr>
              <w:t>《</w:t>
            </w:r>
            <w:r w:rsidR="00B30650">
              <w:rPr>
                <w:rFonts w:hint="eastAsia"/>
                <w:szCs w:val="21"/>
              </w:rPr>
              <w:t>证券法</w:t>
            </w:r>
            <w:r>
              <w:rPr>
                <w:rFonts w:hint="eastAsia"/>
                <w:szCs w:val="21"/>
              </w:rPr>
              <w:t>》</w:t>
            </w:r>
          </w:p>
        </w:tc>
        <w:tc>
          <w:tcPr>
            <w:tcW w:w="567" w:type="dxa"/>
            <w:shd w:val="clear" w:color="auto" w:fill="auto"/>
            <w:vAlign w:val="center"/>
          </w:tcPr>
          <w:p w14:paraId="4A0402FF" w14:textId="77777777" w:rsidR="00D26039" w:rsidRDefault="00B30650">
            <w:pPr>
              <w:tabs>
                <w:tab w:val="left" w:pos="1133"/>
              </w:tabs>
              <w:autoSpaceDE w:val="0"/>
              <w:adjustRightInd w:val="0"/>
              <w:jc w:val="center"/>
              <w:rPr>
                <w:szCs w:val="21"/>
              </w:rPr>
            </w:pPr>
            <w:r>
              <w:rPr>
                <w:rFonts w:hint="eastAsia"/>
                <w:szCs w:val="21"/>
              </w:rPr>
              <w:t>指</w:t>
            </w:r>
          </w:p>
        </w:tc>
        <w:tc>
          <w:tcPr>
            <w:tcW w:w="5437" w:type="dxa"/>
            <w:shd w:val="clear" w:color="auto" w:fill="auto"/>
            <w:vAlign w:val="center"/>
          </w:tcPr>
          <w:p w14:paraId="16F3C143" w14:textId="77777777" w:rsidR="00D26039" w:rsidRDefault="00B30650">
            <w:pPr>
              <w:tabs>
                <w:tab w:val="left" w:pos="1133"/>
              </w:tabs>
              <w:autoSpaceDE w:val="0"/>
              <w:adjustRightInd w:val="0"/>
              <w:rPr>
                <w:szCs w:val="21"/>
              </w:rPr>
            </w:pPr>
            <w:r>
              <w:rPr>
                <w:rFonts w:hint="eastAsia"/>
                <w:kern w:val="0"/>
                <w:szCs w:val="21"/>
              </w:rPr>
              <w:t>《中华人民共和国证券法》</w:t>
            </w:r>
          </w:p>
        </w:tc>
      </w:tr>
      <w:tr w:rsidR="00D26039" w14:paraId="7589DA74" w14:textId="77777777">
        <w:trPr>
          <w:trHeight w:val="397"/>
          <w:jc w:val="center"/>
        </w:trPr>
        <w:tc>
          <w:tcPr>
            <w:tcW w:w="2518" w:type="dxa"/>
            <w:shd w:val="clear" w:color="auto" w:fill="auto"/>
            <w:vAlign w:val="center"/>
          </w:tcPr>
          <w:p w14:paraId="4EEBB81C" w14:textId="77777777" w:rsidR="00D26039" w:rsidRDefault="00B30650">
            <w:pPr>
              <w:tabs>
                <w:tab w:val="left" w:pos="1133"/>
              </w:tabs>
              <w:autoSpaceDE w:val="0"/>
              <w:adjustRightInd w:val="0"/>
              <w:rPr>
                <w:szCs w:val="21"/>
              </w:rPr>
            </w:pPr>
            <w:r>
              <w:rPr>
                <w:rFonts w:hint="eastAsia"/>
                <w:szCs w:val="21"/>
              </w:rPr>
              <w:t>董事会</w:t>
            </w:r>
          </w:p>
        </w:tc>
        <w:tc>
          <w:tcPr>
            <w:tcW w:w="567" w:type="dxa"/>
            <w:shd w:val="clear" w:color="auto" w:fill="auto"/>
            <w:vAlign w:val="center"/>
          </w:tcPr>
          <w:p w14:paraId="4402F70B" w14:textId="77777777" w:rsidR="00D26039" w:rsidRDefault="00B30650">
            <w:pPr>
              <w:tabs>
                <w:tab w:val="left" w:pos="1133"/>
              </w:tabs>
              <w:autoSpaceDE w:val="0"/>
              <w:adjustRightInd w:val="0"/>
              <w:jc w:val="center"/>
              <w:rPr>
                <w:szCs w:val="21"/>
              </w:rPr>
            </w:pPr>
            <w:r>
              <w:rPr>
                <w:rFonts w:hint="eastAsia"/>
                <w:szCs w:val="21"/>
              </w:rPr>
              <w:t>指</w:t>
            </w:r>
          </w:p>
        </w:tc>
        <w:tc>
          <w:tcPr>
            <w:tcW w:w="5437" w:type="dxa"/>
            <w:shd w:val="clear" w:color="auto" w:fill="auto"/>
            <w:vAlign w:val="center"/>
          </w:tcPr>
          <w:p w14:paraId="40CC37EA" w14:textId="77777777" w:rsidR="00D26039" w:rsidRDefault="00B30650">
            <w:pPr>
              <w:tabs>
                <w:tab w:val="left" w:pos="1133"/>
              </w:tabs>
              <w:autoSpaceDE w:val="0"/>
              <w:adjustRightInd w:val="0"/>
              <w:rPr>
                <w:szCs w:val="21"/>
              </w:rPr>
            </w:pPr>
            <w:r>
              <w:rPr>
                <w:rFonts w:hint="eastAsia"/>
                <w:kern w:val="0"/>
                <w:szCs w:val="21"/>
              </w:rPr>
              <w:t>铜峰电子董事会</w:t>
            </w:r>
          </w:p>
        </w:tc>
      </w:tr>
      <w:tr w:rsidR="00D26039" w14:paraId="7E10378C" w14:textId="77777777">
        <w:trPr>
          <w:trHeight w:val="397"/>
          <w:jc w:val="center"/>
        </w:trPr>
        <w:tc>
          <w:tcPr>
            <w:tcW w:w="2518" w:type="dxa"/>
            <w:shd w:val="clear" w:color="auto" w:fill="auto"/>
            <w:vAlign w:val="center"/>
          </w:tcPr>
          <w:p w14:paraId="448E9B29" w14:textId="77777777" w:rsidR="00D26039" w:rsidRDefault="00B30650">
            <w:pPr>
              <w:tabs>
                <w:tab w:val="left" w:pos="1133"/>
              </w:tabs>
              <w:autoSpaceDE w:val="0"/>
              <w:adjustRightInd w:val="0"/>
              <w:rPr>
                <w:szCs w:val="21"/>
              </w:rPr>
            </w:pPr>
            <w:r>
              <w:rPr>
                <w:rFonts w:hint="eastAsia"/>
                <w:szCs w:val="21"/>
              </w:rPr>
              <w:t>监事会</w:t>
            </w:r>
          </w:p>
        </w:tc>
        <w:tc>
          <w:tcPr>
            <w:tcW w:w="567" w:type="dxa"/>
            <w:shd w:val="clear" w:color="auto" w:fill="auto"/>
            <w:vAlign w:val="center"/>
          </w:tcPr>
          <w:p w14:paraId="2DE35A06" w14:textId="77777777" w:rsidR="00D26039" w:rsidRDefault="00B30650">
            <w:pPr>
              <w:tabs>
                <w:tab w:val="left" w:pos="1133"/>
              </w:tabs>
              <w:autoSpaceDE w:val="0"/>
              <w:adjustRightInd w:val="0"/>
              <w:jc w:val="center"/>
              <w:rPr>
                <w:szCs w:val="21"/>
              </w:rPr>
            </w:pPr>
            <w:r>
              <w:rPr>
                <w:rFonts w:hint="eastAsia"/>
                <w:szCs w:val="21"/>
              </w:rPr>
              <w:t>指</w:t>
            </w:r>
          </w:p>
        </w:tc>
        <w:tc>
          <w:tcPr>
            <w:tcW w:w="5437" w:type="dxa"/>
            <w:shd w:val="clear" w:color="auto" w:fill="auto"/>
            <w:vAlign w:val="center"/>
          </w:tcPr>
          <w:p w14:paraId="060161C3" w14:textId="77777777" w:rsidR="00D26039" w:rsidRDefault="00B30650">
            <w:pPr>
              <w:tabs>
                <w:tab w:val="left" w:pos="1133"/>
              </w:tabs>
              <w:autoSpaceDE w:val="0"/>
              <w:adjustRightInd w:val="0"/>
              <w:rPr>
                <w:szCs w:val="21"/>
              </w:rPr>
            </w:pPr>
            <w:r>
              <w:rPr>
                <w:rFonts w:hint="eastAsia"/>
                <w:kern w:val="0"/>
                <w:szCs w:val="21"/>
              </w:rPr>
              <w:t>铜峰电子</w:t>
            </w:r>
            <w:r>
              <w:rPr>
                <w:rFonts w:hint="eastAsia"/>
                <w:szCs w:val="21"/>
              </w:rPr>
              <w:t>监事会</w:t>
            </w:r>
          </w:p>
        </w:tc>
      </w:tr>
      <w:tr w:rsidR="00D26039" w14:paraId="62257916" w14:textId="77777777">
        <w:trPr>
          <w:trHeight w:val="397"/>
          <w:jc w:val="center"/>
        </w:trPr>
        <w:tc>
          <w:tcPr>
            <w:tcW w:w="2518" w:type="dxa"/>
            <w:shd w:val="clear" w:color="auto" w:fill="auto"/>
            <w:vAlign w:val="center"/>
          </w:tcPr>
          <w:p w14:paraId="4F300186" w14:textId="77777777" w:rsidR="00D26039" w:rsidRDefault="00B30650">
            <w:pPr>
              <w:tabs>
                <w:tab w:val="left" w:pos="1133"/>
              </w:tabs>
              <w:autoSpaceDE w:val="0"/>
              <w:adjustRightInd w:val="0"/>
              <w:rPr>
                <w:szCs w:val="21"/>
              </w:rPr>
            </w:pPr>
            <w:r>
              <w:rPr>
                <w:rFonts w:hint="eastAsia"/>
                <w:szCs w:val="21"/>
              </w:rPr>
              <w:t>股东大会</w:t>
            </w:r>
          </w:p>
        </w:tc>
        <w:tc>
          <w:tcPr>
            <w:tcW w:w="567" w:type="dxa"/>
            <w:shd w:val="clear" w:color="auto" w:fill="auto"/>
            <w:vAlign w:val="center"/>
          </w:tcPr>
          <w:p w14:paraId="7FB761B2" w14:textId="77777777" w:rsidR="00D26039" w:rsidRDefault="00B30650">
            <w:pPr>
              <w:tabs>
                <w:tab w:val="left" w:pos="1133"/>
              </w:tabs>
              <w:autoSpaceDE w:val="0"/>
              <w:adjustRightInd w:val="0"/>
              <w:jc w:val="center"/>
              <w:rPr>
                <w:szCs w:val="21"/>
              </w:rPr>
            </w:pPr>
            <w:r>
              <w:rPr>
                <w:rFonts w:hint="eastAsia"/>
                <w:szCs w:val="21"/>
              </w:rPr>
              <w:t>指</w:t>
            </w:r>
          </w:p>
        </w:tc>
        <w:tc>
          <w:tcPr>
            <w:tcW w:w="5437" w:type="dxa"/>
            <w:shd w:val="clear" w:color="auto" w:fill="auto"/>
            <w:vAlign w:val="center"/>
          </w:tcPr>
          <w:p w14:paraId="392BD8B5" w14:textId="77777777" w:rsidR="00D26039" w:rsidRDefault="00B30650">
            <w:pPr>
              <w:tabs>
                <w:tab w:val="left" w:pos="1133"/>
              </w:tabs>
              <w:autoSpaceDE w:val="0"/>
              <w:adjustRightInd w:val="0"/>
              <w:rPr>
                <w:szCs w:val="21"/>
              </w:rPr>
            </w:pPr>
            <w:r>
              <w:rPr>
                <w:rFonts w:hint="eastAsia"/>
                <w:kern w:val="0"/>
                <w:szCs w:val="21"/>
              </w:rPr>
              <w:t>铜峰电子</w:t>
            </w:r>
            <w:r>
              <w:rPr>
                <w:rFonts w:hint="eastAsia"/>
                <w:szCs w:val="21"/>
              </w:rPr>
              <w:t>股东大会</w:t>
            </w:r>
          </w:p>
        </w:tc>
      </w:tr>
      <w:tr w:rsidR="00D26039" w14:paraId="276E54B1" w14:textId="77777777">
        <w:trPr>
          <w:trHeight w:val="397"/>
          <w:jc w:val="center"/>
        </w:trPr>
        <w:tc>
          <w:tcPr>
            <w:tcW w:w="2518" w:type="dxa"/>
            <w:shd w:val="clear" w:color="auto" w:fill="auto"/>
            <w:vAlign w:val="center"/>
          </w:tcPr>
          <w:p w14:paraId="52A318F5" w14:textId="77777777" w:rsidR="00D26039" w:rsidRDefault="00B30650">
            <w:pPr>
              <w:tabs>
                <w:tab w:val="left" w:pos="1133"/>
              </w:tabs>
              <w:autoSpaceDE w:val="0"/>
              <w:adjustRightInd w:val="0"/>
              <w:rPr>
                <w:kern w:val="0"/>
                <w:szCs w:val="21"/>
              </w:rPr>
            </w:pPr>
            <w:r>
              <w:rPr>
                <w:kern w:val="0"/>
                <w:szCs w:val="21"/>
              </w:rPr>
              <w:t>元、万元</w:t>
            </w:r>
            <w:r>
              <w:rPr>
                <w:rFonts w:hint="eastAsia"/>
                <w:kern w:val="0"/>
                <w:szCs w:val="21"/>
              </w:rPr>
              <w:t>、</w:t>
            </w:r>
            <w:r>
              <w:rPr>
                <w:kern w:val="0"/>
                <w:szCs w:val="21"/>
              </w:rPr>
              <w:t>亿元</w:t>
            </w:r>
          </w:p>
        </w:tc>
        <w:tc>
          <w:tcPr>
            <w:tcW w:w="567" w:type="dxa"/>
            <w:shd w:val="clear" w:color="auto" w:fill="auto"/>
            <w:vAlign w:val="center"/>
          </w:tcPr>
          <w:p w14:paraId="56015248" w14:textId="77777777" w:rsidR="00D26039" w:rsidRDefault="00B30650">
            <w:pPr>
              <w:tabs>
                <w:tab w:val="left" w:pos="1133"/>
              </w:tabs>
              <w:autoSpaceDE w:val="0"/>
              <w:adjustRightInd w:val="0"/>
              <w:jc w:val="center"/>
              <w:rPr>
                <w:kern w:val="0"/>
                <w:szCs w:val="21"/>
              </w:rPr>
            </w:pPr>
            <w:r>
              <w:rPr>
                <w:kern w:val="0"/>
                <w:szCs w:val="21"/>
              </w:rPr>
              <w:t>指</w:t>
            </w:r>
          </w:p>
        </w:tc>
        <w:tc>
          <w:tcPr>
            <w:tcW w:w="5437" w:type="dxa"/>
            <w:shd w:val="clear" w:color="auto" w:fill="auto"/>
            <w:vAlign w:val="center"/>
          </w:tcPr>
          <w:p w14:paraId="0BBE87D9" w14:textId="77777777" w:rsidR="00D26039" w:rsidRDefault="00B30650">
            <w:pPr>
              <w:tabs>
                <w:tab w:val="left" w:pos="1133"/>
              </w:tabs>
              <w:autoSpaceDE w:val="0"/>
              <w:adjustRightInd w:val="0"/>
              <w:rPr>
                <w:kern w:val="0"/>
                <w:szCs w:val="21"/>
              </w:rPr>
            </w:pPr>
            <w:r>
              <w:rPr>
                <w:kern w:val="0"/>
                <w:szCs w:val="21"/>
              </w:rPr>
              <w:t>人民币元、万元</w:t>
            </w:r>
            <w:r>
              <w:rPr>
                <w:rFonts w:hint="eastAsia"/>
                <w:kern w:val="0"/>
                <w:szCs w:val="21"/>
              </w:rPr>
              <w:t>、</w:t>
            </w:r>
            <w:r>
              <w:rPr>
                <w:kern w:val="0"/>
                <w:szCs w:val="21"/>
              </w:rPr>
              <w:t>亿元</w:t>
            </w:r>
          </w:p>
        </w:tc>
      </w:tr>
    </w:tbl>
    <w:p w14:paraId="4EB3E15E" w14:textId="77777777" w:rsidR="00D26039" w:rsidRDefault="00B30650">
      <w:pPr>
        <w:pStyle w:val="05"/>
        <w:spacing w:afterLines="50" w:after="156" w:line="240" w:lineRule="auto"/>
        <w:ind w:firstLine="420"/>
        <w:rPr>
          <w:rFonts w:ascii="Times New Roman" w:hAnsi="Times New Roman"/>
          <w:sz w:val="21"/>
          <w:szCs w:val="21"/>
          <w:highlight w:val="yellow"/>
        </w:rPr>
      </w:pPr>
      <w:r>
        <w:rPr>
          <w:rFonts w:hint="eastAsia"/>
          <w:sz w:val="21"/>
          <w:szCs w:val="21"/>
        </w:rPr>
        <w:t>注</w:t>
      </w:r>
      <w:r>
        <w:rPr>
          <w:sz w:val="21"/>
          <w:szCs w:val="21"/>
        </w:rPr>
        <w:t>：</w:t>
      </w:r>
      <w:r>
        <w:rPr>
          <w:rFonts w:hint="eastAsia"/>
          <w:sz w:val="21"/>
          <w:szCs w:val="21"/>
        </w:rPr>
        <w:t>本预案中若出现合计数与所列数值总和尾数不符，均为四舍五入原因所致。</w:t>
      </w:r>
    </w:p>
    <w:p w14:paraId="65D9AF88" w14:textId="77777777" w:rsidR="00D26039" w:rsidRDefault="00B30650">
      <w:pPr>
        <w:pStyle w:val="1"/>
        <w:autoSpaceDE w:val="0"/>
      </w:pPr>
      <w:r>
        <w:rPr>
          <w:kern w:val="0"/>
          <w:sz w:val="36"/>
          <w:szCs w:val="36"/>
        </w:rPr>
        <w:br w:type="page"/>
      </w:r>
    </w:p>
    <w:sdt>
      <w:sdtPr>
        <w:rPr>
          <w:rFonts w:ascii="Times New Roman" w:hAnsi="Times New Roman"/>
          <w:b w:val="0"/>
          <w:bCs w:val="0"/>
          <w:color w:val="auto"/>
          <w:kern w:val="2"/>
          <w:sz w:val="21"/>
          <w:szCs w:val="24"/>
          <w:lang w:val="zh-CN"/>
        </w:rPr>
        <w:id w:val="534934039"/>
        <w:docPartObj>
          <w:docPartGallery w:val="Table of Contents"/>
          <w:docPartUnique/>
        </w:docPartObj>
      </w:sdtPr>
      <w:sdtEndPr/>
      <w:sdtContent>
        <w:p w14:paraId="6B2FF32F" w14:textId="77777777" w:rsidR="00D26039" w:rsidRDefault="00B30650">
          <w:pPr>
            <w:pStyle w:val="TOC1"/>
            <w:jc w:val="center"/>
            <w:outlineLvl w:val="0"/>
            <w:rPr>
              <w:rFonts w:ascii="Times New Roman" w:eastAsia="黑体" w:hAnsi="Times New Roman"/>
              <w:color w:val="auto"/>
              <w:kern w:val="44"/>
              <w:sz w:val="32"/>
              <w:szCs w:val="44"/>
            </w:rPr>
          </w:pPr>
          <w:r>
            <w:rPr>
              <w:rFonts w:ascii="Times New Roman" w:eastAsia="黑体" w:hAnsi="Times New Roman" w:hint="eastAsia"/>
              <w:color w:val="auto"/>
              <w:kern w:val="44"/>
              <w:sz w:val="32"/>
              <w:szCs w:val="44"/>
            </w:rPr>
            <w:t>目录</w:t>
          </w:r>
        </w:p>
        <w:p w14:paraId="299138CD" w14:textId="3A28C653" w:rsidR="00D26039" w:rsidRDefault="00B30650">
          <w:pPr>
            <w:pStyle w:val="10"/>
            <w:rPr>
              <w:rFonts w:cstheme="minorBidi"/>
              <w:noProof/>
              <w:sz w:val="21"/>
              <w:szCs w:val="22"/>
            </w:rPr>
          </w:pPr>
          <w:r>
            <w:rPr>
              <w:rFonts w:asciiTheme="minorHAnsi" w:hAnsiTheme="minorHAnsi"/>
              <w:sz w:val="20"/>
            </w:rPr>
            <w:fldChar w:fldCharType="begin"/>
          </w:r>
          <w:r>
            <w:rPr>
              <w:rFonts w:asciiTheme="minorHAnsi" w:hAnsiTheme="minorHAnsi"/>
              <w:sz w:val="20"/>
            </w:rPr>
            <w:instrText xml:space="preserve"> TOC \o "1-3" \h \z \u </w:instrText>
          </w:r>
          <w:r>
            <w:rPr>
              <w:rFonts w:asciiTheme="minorHAnsi" w:hAnsiTheme="minorHAnsi"/>
              <w:sz w:val="20"/>
            </w:rPr>
            <w:fldChar w:fldCharType="separate"/>
          </w:r>
          <w:hyperlink w:anchor="_Toc111905391" w:history="1">
            <w:r>
              <w:rPr>
                <w:rStyle w:val="af"/>
                <w:noProof/>
              </w:rPr>
              <w:t>公司声明</w:t>
            </w:r>
            <w:r>
              <w:rPr>
                <w:noProof/>
              </w:rPr>
              <w:tab/>
            </w:r>
            <w:r>
              <w:rPr>
                <w:noProof/>
              </w:rPr>
              <w:fldChar w:fldCharType="begin"/>
            </w:r>
            <w:r>
              <w:rPr>
                <w:noProof/>
              </w:rPr>
              <w:instrText xml:space="preserve"> PAGEREF _Toc111905391 \h </w:instrText>
            </w:r>
            <w:r>
              <w:rPr>
                <w:noProof/>
              </w:rPr>
            </w:r>
            <w:r>
              <w:rPr>
                <w:noProof/>
              </w:rPr>
              <w:fldChar w:fldCharType="separate"/>
            </w:r>
            <w:r w:rsidR="005D006A">
              <w:rPr>
                <w:noProof/>
              </w:rPr>
              <w:t>1</w:t>
            </w:r>
            <w:r>
              <w:rPr>
                <w:noProof/>
              </w:rPr>
              <w:fldChar w:fldCharType="end"/>
            </w:r>
          </w:hyperlink>
        </w:p>
        <w:p w14:paraId="433CEB83" w14:textId="334A12DC" w:rsidR="00D26039" w:rsidRDefault="00BF65DE">
          <w:pPr>
            <w:pStyle w:val="10"/>
            <w:rPr>
              <w:rFonts w:cstheme="minorBidi"/>
              <w:noProof/>
              <w:sz w:val="21"/>
              <w:szCs w:val="22"/>
            </w:rPr>
          </w:pPr>
          <w:hyperlink w:anchor="_Toc111905392" w:history="1">
            <w:r w:rsidR="00B30650">
              <w:rPr>
                <w:rStyle w:val="af"/>
                <w:noProof/>
              </w:rPr>
              <w:t>特别提示</w:t>
            </w:r>
            <w:r w:rsidR="00B30650">
              <w:rPr>
                <w:noProof/>
              </w:rPr>
              <w:tab/>
            </w:r>
            <w:r w:rsidR="00B30650">
              <w:rPr>
                <w:noProof/>
              </w:rPr>
              <w:fldChar w:fldCharType="begin"/>
            </w:r>
            <w:r w:rsidR="00B30650">
              <w:rPr>
                <w:noProof/>
              </w:rPr>
              <w:instrText xml:space="preserve"> PAGEREF _Toc111905392 \h </w:instrText>
            </w:r>
            <w:r w:rsidR="00B30650">
              <w:rPr>
                <w:noProof/>
              </w:rPr>
            </w:r>
            <w:r w:rsidR="00B30650">
              <w:rPr>
                <w:noProof/>
              </w:rPr>
              <w:fldChar w:fldCharType="separate"/>
            </w:r>
            <w:r w:rsidR="005D006A">
              <w:rPr>
                <w:noProof/>
              </w:rPr>
              <w:t>2</w:t>
            </w:r>
            <w:r w:rsidR="00B30650">
              <w:rPr>
                <w:noProof/>
              </w:rPr>
              <w:fldChar w:fldCharType="end"/>
            </w:r>
          </w:hyperlink>
        </w:p>
        <w:p w14:paraId="1323CEAB" w14:textId="28083361" w:rsidR="00D26039" w:rsidRDefault="00BF65DE">
          <w:pPr>
            <w:pStyle w:val="10"/>
            <w:rPr>
              <w:rFonts w:cstheme="minorBidi"/>
              <w:noProof/>
              <w:sz w:val="21"/>
              <w:szCs w:val="22"/>
            </w:rPr>
          </w:pPr>
          <w:hyperlink w:anchor="_Toc111905393" w:history="1">
            <w:r w:rsidR="00B30650">
              <w:rPr>
                <w:rStyle w:val="af"/>
                <w:noProof/>
              </w:rPr>
              <w:t>释义</w:t>
            </w:r>
            <w:r w:rsidR="00B30650">
              <w:rPr>
                <w:noProof/>
              </w:rPr>
              <w:tab/>
            </w:r>
            <w:r w:rsidR="00B30650">
              <w:rPr>
                <w:noProof/>
              </w:rPr>
              <w:fldChar w:fldCharType="begin"/>
            </w:r>
            <w:r w:rsidR="00B30650">
              <w:rPr>
                <w:noProof/>
              </w:rPr>
              <w:instrText xml:space="preserve"> PAGEREF _Toc111905393 \h </w:instrText>
            </w:r>
            <w:r w:rsidR="00B30650">
              <w:rPr>
                <w:noProof/>
              </w:rPr>
            </w:r>
            <w:r w:rsidR="00B30650">
              <w:rPr>
                <w:noProof/>
              </w:rPr>
              <w:fldChar w:fldCharType="separate"/>
            </w:r>
            <w:r w:rsidR="005D006A">
              <w:rPr>
                <w:noProof/>
              </w:rPr>
              <w:t>5</w:t>
            </w:r>
            <w:r w:rsidR="00B30650">
              <w:rPr>
                <w:noProof/>
              </w:rPr>
              <w:fldChar w:fldCharType="end"/>
            </w:r>
          </w:hyperlink>
        </w:p>
        <w:p w14:paraId="5FBC33EF" w14:textId="0AC3B5DC" w:rsidR="00D26039" w:rsidRDefault="00BF65DE">
          <w:pPr>
            <w:pStyle w:val="10"/>
            <w:rPr>
              <w:rFonts w:cstheme="minorBidi"/>
              <w:noProof/>
              <w:sz w:val="21"/>
              <w:szCs w:val="22"/>
            </w:rPr>
          </w:pPr>
          <w:hyperlink w:anchor="_Toc111905394" w:history="1">
            <w:r w:rsidR="00B30650">
              <w:rPr>
                <w:rStyle w:val="af"/>
                <w:noProof/>
              </w:rPr>
              <w:t>第一节  本次非公开发行股票方案概要</w:t>
            </w:r>
            <w:r w:rsidR="00B30650">
              <w:rPr>
                <w:noProof/>
              </w:rPr>
              <w:tab/>
            </w:r>
            <w:r w:rsidR="00B30650">
              <w:rPr>
                <w:noProof/>
              </w:rPr>
              <w:fldChar w:fldCharType="begin"/>
            </w:r>
            <w:r w:rsidR="00B30650">
              <w:rPr>
                <w:noProof/>
              </w:rPr>
              <w:instrText xml:space="preserve"> PAGEREF _Toc111905394 \h </w:instrText>
            </w:r>
            <w:r w:rsidR="00B30650">
              <w:rPr>
                <w:noProof/>
              </w:rPr>
            </w:r>
            <w:r w:rsidR="00B30650">
              <w:rPr>
                <w:noProof/>
              </w:rPr>
              <w:fldChar w:fldCharType="separate"/>
            </w:r>
            <w:r w:rsidR="005D006A">
              <w:rPr>
                <w:noProof/>
              </w:rPr>
              <w:t>8</w:t>
            </w:r>
            <w:r w:rsidR="00B30650">
              <w:rPr>
                <w:noProof/>
              </w:rPr>
              <w:fldChar w:fldCharType="end"/>
            </w:r>
          </w:hyperlink>
        </w:p>
        <w:p w14:paraId="52215268" w14:textId="3D53D73F" w:rsidR="00D26039" w:rsidRDefault="00BF65DE">
          <w:pPr>
            <w:pStyle w:val="20"/>
            <w:rPr>
              <w:rFonts w:asciiTheme="minorEastAsia" w:eastAsiaTheme="minorEastAsia" w:hAnsiTheme="minorEastAsia" w:cstheme="minorBidi"/>
              <w:smallCaps w:val="0"/>
              <w:noProof/>
              <w:sz w:val="21"/>
              <w:szCs w:val="22"/>
            </w:rPr>
          </w:pPr>
          <w:hyperlink w:anchor="_Toc111905395" w:history="1">
            <w:r w:rsidR="00B30650">
              <w:rPr>
                <w:rStyle w:val="af"/>
                <w:rFonts w:asciiTheme="minorEastAsia" w:eastAsiaTheme="minorEastAsia" w:hAnsiTheme="minorEastAsia"/>
                <w:noProof/>
                <w:kern w:val="0"/>
              </w:rPr>
              <w:t>一、发行人基本情况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_Toc111905395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8</w:t>
            </w:r>
            <w:r w:rsidR="00B30650">
              <w:rPr>
                <w:rFonts w:asciiTheme="minorEastAsia" w:eastAsiaTheme="minorEastAsia" w:hAnsiTheme="minorEastAsia"/>
                <w:noProof/>
              </w:rPr>
              <w:fldChar w:fldCharType="end"/>
            </w:r>
          </w:hyperlink>
        </w:p>
        <w:p w14:paraId="63633FEA" w14:textId="3373C8C8" w:rsidR="00D26039" w:rsidRDefault="00BF65DE">
          <w:pPr>
            <w:pStyle w:val="20"/>
            <w:rPr>
              <w:rFonts w:asciiTheme="minorEastAsia" w:eastAsiaTheme="minorEastAsia" w:hAnsiTheme="minorEastAsia" w:cstheme="minorBidi"/>
              <w:smallCaps w:val="0"/>
              <w:noProof/>
              <w:sz w:val="21"/>
              <w:szCs w:val="22"/>
            </w:rPr>
          </w:pPr>
          <w:hyperlink w:anchor="_Toc111905396" w:history="1">
            <w:r w:rsidR="00B30650">
              <w:rPr>
                <w:rStyle w:val="af"/>
                <w:rFonts w:asciiTheme="minorEastAsia" w:eastAsiaTheme="minorEastAsia" w:hAnsiTheme="minorEastAsia"/>
                <w:noProof/>
                <w:kern w:val="0"/>
              </w:rPr>
              <w:t>二、本次非公开发行的背景和目的</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_Toc111905396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8</w:t>
            </w:r>
            <w:r w:rsidR="00B30650">
              <w:rPr>
                <w:rFonts w:asciiTheme="minorEastAsia" w:eastAsiaTheme="minorEastAsia" w:hAnsiTheme="minorEastAsia"/>
                <w:noProof/>
              </w:rPr>
              <w:fldChar w:fldCharType="end"/>
            </w:r>
          </w:hyperlink>
        </w:p>
        <w:p w14:paraId="7197CF91" w14:textId="6D6A2BCE" w:rsidR="00D26039" w:rsidRDefault="00BF65DE">
          <w:pPr>
            <w:pStyle w:val="20"/>
            <w:rPr>
              <w:rFonts w:asciiTheme="minorEastAsia" w:eastAsiaTheme="minorEastAsia" w:hAnsiTheme="minorEastAsia" w:cstheme="minorBidi"/>
              <w:smallCaps w:val="0"/>
              <w:noProof/>
              <w:sz w:val="21"/>
              <w:szCs w:val="22"/>
            </w:rPr>
          </w:pPr>
          <w:hyperlink w:anchor="_Toc111905397" w:history="1">
            <w:r w:rsidR="00B30650">
              <w:rPr>
                <w:rStyle w:val="af"/>
                <w:rFonts w:asciiTheme="minorEastAsia" w:eastAsiaTheme="minorEastAsia" w:hAnsiTheme="minorEastAsia"/>
                <w:noProof/>
                <w:kern w:val="0"/>
              </w:rPr>
              <w:t>三、发行对象及其与公司的关系</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_Toc111905397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11</w:t>
            </w:r>
            <w:r w:rsidR="00B30650">
              <w:rPr>
                <w:rFonts w:asciiTheme="minorEastAsia" w:eastAsiaTheme="minorEastAsia" w:hAnsiTheme="minorEastAsia"/>
                <w:noProof/>
              </w:rPr>
              <w:fldChar w:fldCharType="end"/>
            </w:r>
          </w:hyperlink>
        </w:p>
        <w:p w14:paraId="6802EC87" w14:textId="5C2797E5" w:rsidR="00D26039" w:rsidRDefault="00BF65DE">
          <w:pPr>
            <w:pStyle w:val="20"/>
            <w:rPr>
              <w:rFonts w:asciiTheme="minorEastAsia" w:eastAsiaTheme="minorEastAsia" w:hAnsiTheme="minorEastAsia" w:cstheme="minorBidi"/>
              <w:smallCaps w:val="0"/>
              <w:noProof/>
              <w:sz w:val="21"/>
              <w:szCs w:val="22"/>
            </w:rPr>
          </w:pPr>
          <w:hyperlink w:anchor="_Toc111905398" w:history="1">
            <w:r w:rsidR="00B30650">
              <w:rPr>
                <w:rStyle w:val="af"/>
                <w:rFonts w:asciiTheme="minorEastAsia" w:eastAsiaTheme="minorEastAsia" w:hAnsiTheme="minorEastAsia"/>
                <w:noProof/>
                <w:kern w:val="0"/>
              </w:rPr>
              <w:t>四、本次非公开发行方案概要</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_Toc111905398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12</w:t>
            </w:r>
            <w:r w:rsidR="00B30650">
              <w:rPr>
                <w:rFonts w:asciiTheme="minorEastAsia" w:eastAsiaTheme="minorEastAsia" w:hAnsiTheme="minorEastAsia"/>
                <w:noProof/>
              </w:rPr>
              <w:fldChar w:fldCharType="end"/>
            </w:r>
          </w:hyperlink>
        </w:p>
        <w:p w14:paraId="5338E4D0" w14:textId="3D95AAE0" w:rsidR="00D26039" w:rsidRDefault="00BF65DE">
          <w:pPr>
            <w:pStyle w:val="20"/>
            <w:rPr>
              <w:rFonts w:asciiTheme="minorEastAsia" w:eastAsiaTheme="minorEastAsia" w:hAnsiTheme="minorEastAsia" w:cstheme="minorBidi"/>
              <w:smallCaps w:val="0"/>
              <w:noProof/>
              <w:sz w:val="21"/>
              <w:szCs w:val="22"/>
            </w:rPr>
          </w:pPr>
          <w:hyperlink w:anchor="_Toc111905399" w:history="1">
            <w:r w:rsidR="00B30650">
              <w:rPr>
                <w:rStyle w:val="af"/>
                <w:rFonts w:asciiTheme="minorEastAsia" w:eastAsiaTheme="minorEastAsia" w:hAnsiTheme="minorEastAsia"/>
                <w:noProof/>
                <w:kern w:val="0"/>
              </w:rPr>
              <w:t>五、本次募集资金投向</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_Toc111905399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12</w:t>
            </w:r>
            <w:r w:rsidR="00B30650">
              <w:rPr>
                <w:rFonts w:asciiTheme="minorEastAsia" w:eastAsiaTheme="minorEastAsia" w:hAnsiTheme="minorEastAsia"/>
                <w:noProof/>
              </w:rPr>
              <w:fldChar w:fldCharType="end"/>
            </w:r>
          </w:hyperlink>
        </w:p>
        <w:p w14:paraId="48AEDD5F" w14:textId="0DE9A7E1" w:rsidR="00D26039" w:rsidRDefault="00BF65DE">
          <w:pPr>
            <w:pStyle w:val="20"/>
            <w:rPr>
              <w:rFonts w:asciiTheme="minorEastAsia" w:eastAsiaTheme="minorEastAsia" w:hAnsiTheme="minorEastAsia" w:cstheme="minorBidi"/>
              <w:smallCaps w:val="0"/>
              <w:noProof/>
              <w:sz w:val="21"/>
              <w:szCs w:val="22"/>
            </w:rPr>
          </w:pPr>
          <w:hyperlink w:anchor="_Toc111905400" w:history="1">
            <w:r w:rsidR="00B30650">
              <w:rPr>
                <w:rStyle w:val="af"/>
                <w:rFonts w:asciiTheme="minorEastAsia" w:eastAsiaTheme="minorEastAsia" w:hAnsiTheme="minorEastAsia"/>
                <w:noProof/>
                <w:kern w:val="0"/>
              </w:rPr>
              <w:t>六、本次发行是否构成关联交易</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_Toc111905400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15</w:t>
            </w:r>
            <w:r w:rsidR="00B30650">
              <w:rPr>
                <w:rFonts w:asciiTheme="minorEastAsia" w:eastAsiaTheme="minorEastAsia" w:hAnsiTheme="minorEastAsia"/>
                <w:noProof/>
              </w:rPr>
              <w:fldChar w:fldCharType="end"/>
            </w:r>
          </w:hyperlink>
        </w:p>
        <w:p w14:paraId="776F6F3C" w14:textId="668CF6E4" w:rsidR="00D26039" w:rsidRDefault="00BF65DE">
          <w:pPr>
            <w:pStyle w:val="20"/>
            <w:rPr>
              <w:rFonts w:asciiTheme="minorEastAsia" w:eastAsiaTheme="minorEastAsia" w:hAnsiTheme="minorEastAsia" w:cstheme="minorBidi"/>
              <w:smallCaps w:val="0"/>
              <w:noProof/>
              <w:sz w:val="21"/>
              <w:szCs w:val="22"/>
            </w:rPr>
          </w:pPr>
          <w:hyperlink w:anchor="_Toc111905401" w:history="1">
            <w:r w:rsidR="00B30650">
              <w:rPr>
                <w:rStyle w:val="af"/>
                <w:rFonts w:asciiTheme="minorEastAsia" w:eastAsiaTheme="minorEastAsia" w:hAnsiTheme="minorEastAsia"/>
                <w:noProof/>
                <w:kern w:val="0"/>
              </w:rPr>
              <w:t>七、本次发行是否导致公司控制权发生变化</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_Toc111905401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16</w:t>
            </w:r>
            <w:r w:rsidR="00B30650">
              <w:rPr>
                <w:rFonts w:asciiTheme="minorEastAsia" w:eastAsiaTheme="minorEastAsia" w:hAnsiTheme="minorEastAsia"/>
                <w:noProof/>
              </w:rPr>
              <w:fldChar w:fldCharType="end"/>
            </w:r>
          </w:hyperlink>
        </w:p>
        <w:p w14:paraId="090B35F4" w14:textId="1696C65D" w:rsidR="00D26039" w:rsidRDefault="00BF65DE">
          <w:pPr>
            <w:pStyle w:val="20"/>
            <w:rPr>
              <w:rFonts w:asciiTheme="minorEastAsia" w:eastAsiaTheme="minorEastAsia" w:hAnsiTheme="minorEastAsia" w:cstheme="minorBidi"/>
              <w:smallCaps w:val="0"/>
              <w:noProof/>
              <w:sz w:val="21"/>
              <w:szCs w:val="22"/>
            </w:rPr>
          </w:pPr>
          <w:hyperlink w:anchor="_Toc111905402" w:history="1">
            <w:r w:rsidR="00B30650">
              <w:rPr>
                <w:rStyle w:val="af"/>
                <w:rFonts w:asciiTheme="minorEastAsia" w:eastAsiaTheme="minorEastAsia" w:hAnsiTheme="minorEastAsia"/>
                <w:noProof/>
                <w:kern w:val="0"/>
              </w:rPr>
              <w:t>八、本次非公开发行的审批程序</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_Toc111905402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16</w:t>
            </w:r>
            <w:r w:rsidR="00B30650">
              <w:rPr>
                <w:rFonts w:asciiTheme="minorEastAsia" w:eastAsiaTheme="minorEastAsia" w:hAnsiTheme="minorEastAsia"/>
                <w:noProof/>
              </w:rPr>
              <w:fldChar w:fldCharType="end"/>
            </w:r>
          </w:hyperlink>
        </w:p>
        <w:p w14:paraId="0E218D83" w14:textId="3142E975" w:rsidR="00D26039" w:rsidRDefault="00BF65DE">
          <w:pPr>
            <w:pStyle w:val="10"/>
            <w:rPr>
              <w:rFonts w:cstheme="minorBidi"/>
              <w:noProof/>
              <w:sz w:val="21"/>
              <w:szCs w:val="22"/>
            </w:rPr>
          </w:pPr>
          <w:hyperlink w:anchor="_Toc111905403" w:history="1">
            <w:r w:rsidR="00B30650">
              <w:rPr>
                <w:rStyle w:val="af"/>
                <w:noProof/>
              </w:rPr>
              <w:t>第二节  发行对象基本情况</w:t>
            </w:r>
            <w:r w:rsidR="00B30650">
              <w:rPr>
                <w:noProof/>
              </w:rPr>
              <w:tab/>
            </w:r>
            <w:r w:rsidR="00B30650">
              <w:rPr>
                <w:noProof/>
              </w:rPr>
              <w:fldChar w:fldCharType="begin"/>
            </w:r>
            <w:r w:rsidR="00B30650">
              <w:rPr>
                <w:noProof/>
              </w:rPr>
              <w:instrText xml:space="preserve"> PAGEREF _Toc111905403 \h </w:instrText>
            </w:r>
            <w:r w:rsidR="00B30650">
              <w:rPr>
                <w:noProof/>
              </w:rPr>
            </w:r>
            <w:r w:rsidR="00B30650">
              <w:rPr>
                <w:noProof/>
              </w:rPr>
              <w:fldChar w:fldCharType="separate"/>
            </w:r>
            <w:r w:rsidR="005D006A">
              <w:rPr>
                <w:noProof/>
              </w:rPr>
              <w:t>17</w:t>
            </w:r>
            <w:r w:rsidR="00B30650">
              <w:rPr>
                <w:noProof/>
              </w:rPr>
              <w:fldChar w:fldCharType="end"/>
            </w:r>
          </w:hyperlink>
        </w:p>
        <w:p w14:paraId="383E9316" w14:textId="60F5DB62" w:rsidR="00D26039" w:rsidRDefault="00BF65DE">
          <w:pPr>
            <w:pStyle w:val="20"/>
            <w:rPr>
              <w:rFonts w:asciiTheme="minorEastAsia" w:eastAsiaTheme="minorEastAsia" w:hAnsiTheme="minorEastAsia" w:cstheme="minorBidi"/>
              <w:smallCaps w:val="0"/>
              <w:noProof/>
              <w:sz w:val="21"/>
              <w:szCs w:val="22"/>
            </w:rPr>
          </w:pPr>
          <w:hyperlink w:anchor="_Toc111905404" w:history="1">
            <w:r w:rsidR="00B30650">
              <w:rPr>
                <w:rStyle w:val="af"/>
                <w:rFonts w:asciiTheme="minorEastAsia" w:eastAsiaTheme="minorEastAsia" w:hAnsiTheme="minorEastAsia"/>
                <w:noProof/>
              </w:rPr>
              <w:t>一、基本信息</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_Toc111905404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17</w:t>
            </w:r>
            <w:r w:rsidR="00B30650">
              <w:rPr>
                <w:rFonts w:asciiTheme="minorEastAsia" w:eastAsiaTheme="minorEastAsia" w:hAnsiTheme="minorEastAsia"/>
                <w:noProof/>
              </w:rPr>
              <w:fldChar w:fldCharType="end"/>
            </w:r>
          </w:hyperlink>
        </w:p>
        <w:p w14:paraId="539D8B2F" w14:textId="14856935" w:rsidR="00D26039" w:rsidRDefault="00BF65DE">
          <w:pPr>
            <w:pStyle w:val="20"/>
            <w:rPr>
              <w:rFonts w:asciiTheme="minorEastAsia" w:eastAsiaTheme="minorEastAsia" w:hAnsiTheme="minorEastAsia" w:cstheme="minorBidi"/>
              <w:smallCaps w:val="0"/>
              <w:noProof/>
              <w:sz w:val="21"/>
              <w:szCs w:val="22"/>
            </w:rPr>
          </w:pPr>
          <w:hyperlink w:anchor="_Toc111905405" w:history="1">
            <w:r w:rsidR="00B30650">
              <w:rPr>
                <w:rStyle w:val="af"/>
                <w:rFonts w:asciiTheme="minorEastAsia" w:eastAsiaTheme="minorEastAsia" w:hAnsiTheme="minorEastAsia"/>
                <w:noProof/>
              </w:rPr>
              <w:t>二、股权结构及控制关系</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_Toc111905405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17</w:t>
            </w:r>
            <w:r w:rsidR="00B30650">
              <w:rPr>
                <w:rFonts w:asciiTheme="minorEastAsia" w:eastAsiaTheme="minorEastAsia" w:hAnsiTheme="minorEastAsia"/>
                <w:noProof/>
              </w:rPr>
              <w:fldChar w:fldCharType="end"/>
            </w:r>
          </w:hyperlink>
        </w:p>
        <w:p w14:paraId="5DF15BE5" w14:textId="74D49623" w:rsidR="00D26039" w:rsidRDefault="00BF65DE">
          <w:pPr>
            <w:pStyle w:val="20"/>
            <w:rPr>
              <w:rFonts w:asciiTheme="minorEastAsia" w:eastAsiaTheme="minorEastAsia" w:hAnsiTheme="minorEastAsia" w:cstheme="minorBidi"/>
              <w:smallCaps w:val="0"/>
              <w:noProof/>
              <w:sz w:val="21"/>
              <w:szCs w:val="22"/>
            </w:rPr>
          </w:pPr>
          <w:hyperlink w:anchor="_Toc111905406" w:history="1">
            <w:r w:rsidR="00B30650">
              <w:rPr>
                <w:rStyle w:val="af"/>
                <w:rFonts w:asciiTheme="minorEastAsia" w:eastAsiaTheme="minorEastAsia" w:hAnsiTheme="minorEastAsia"/>
                <w:noProof/>
              </w:rPr>
              <w:t>三、大江投资的主营业务情况及最近三年业务发展情况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_Toc111905406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17</w:t>
            </w:r>
            <w:r w:rsidR="00B30650">
              <w:rPr>
                <w:rFonts w:asciiTheme="minorEastAsia" w:eastAsiaTheme="minorEastAsia" w:hAnsiTheme="minorEastAsia"/>
                <w:noProof/>
              </w:rPr>
              <w:fldChar w:fldCharType="end"/>
            </w:r>
          </w:hyperlink>
        </w:p>
        <w:p w14:paraId="0F5F4785" w14:textId="3B78EE77" w:rsidR="00D26039" w:rsidRDefault="00BF65DE">
          <w:pPr>
            <w:pStyle w:val="20"/>
            <w:rPr>
              <w:rFonts w:asciiTheme="minorEastAsia" w:eastAsiaTheme="minorEastAsia" w:hAnsiTheme="minorEastAsia" w:cstheme="minorBidi"/>
              <w:smallCaps w:val="0"/>
              <w:noProof/>
              <w:sz w:val="21"/>
              <w:szCs w:val="22"/>
            </w:rPr>
          </w:pPr>
          <w:hyperlink w:anchor="_Toc111905407" w:history="1">
            <w:r w:rsidR="00B30650">
              <w:rPr>
                <w:rStyle w:val="af"/>
                <w:rFonts w:asciiTheme="minorEastAsia" w:eastAsiaTheme="minorEastAsia" w:hAnsiTheme="minorEastAsia"/>
                <w:noProof/>
              </w:rPr>
              <w:t>四、大江投资最近一年财务数据</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_Toc111905407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18</w:t>
            </w:r>
            <w:r w:rsidR="00B30650">
              <w:rPr>
                <w:rFonts w:asciiTheme="minorEastAsia" w:eastAsiaTheme="minorEastAsia" w:hAnsiTheme="minorEastAsia"/>
                <w:noProof/>
              </w:rPr>
              <w:fldChar w:fldCharType="end"/>
            </w:r>
          </w:hyperlink>
        </w:p>
        <w:p w14:paraId="55477F4C" w14:textId="10228657" w:rsidR="00D26039" w:rsidRDefault="00BF65DE">
          <w:pPr>
            <w:pStyle w:val="20"/>
            <w:rPr>
              <w:rFonts w:asciiTheme="minorEastAsia" w:eastAsiaTheme="minorEastAsia" w:hAnsiTheme="minorEastAsia" w:cstheme="minorBidi"/>
              <w:smallCaps w:val="0"/>
              <w:noProof/>
              <w:sz w:val="21"/>
              <w:szCs w:val="22"/>
            </w:rPr>
          </w:pPr>
          <w:hyperlink w:anchor="_Toc111905408" w:history="1">
            <w:r w:rsidR="00B30650">
              <w:rPr>
                <w:rStyle w:val="af"/>
                <w:rFonts w:asciiTheme="minorEastAsia" w:eastAsiaTheme="minorEastAsia" w:hAnsiTheme="minorEastAsia"/>
                <w:noProof/>
              </w:rPr>
              <w:t>五、大江投资及其董事、监事、高级管理人员最近五年诉讼及受处罚情况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_Toc111905408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18</w:t>
            </w:r>
            <w:r w:rsidR="00B30650">
              <w:rPr>
                <w:rFonts w:asciiTheme="minorEastAsia" w:eastAsiaTheme="minorEastAsia" w:hAnsiTheme="minorEastAsia"/>
                <w:noProof/>
              </w:rPr>
              <w:fldChar w:fldCharType="end"/>
            </w:r>
          </w:hyperlink>
        </w:p>
        <w:p w14:paraId="32EB797A" w14:textId="6B270C44" w:rsidR="00D26039" w:rsidRDefault="00BF65DE">
          <w:pPr>
            <w:pStyle w:val="20"/>
            <w:rPr>
              <w:rFonts w:asciiTheme="minorEastAsia" w:eastAsiaTheme="minorEastAsia" w:hAnsiTheme="minorEastAsia" w:cstheme="minorBidi"/>
              <w:smallCaps w:val="0"/>
              <w:noProof/>
              <w:sz w:val="21"/>
              <w:szCs w:val="22"/>
            </w:rPr>
          </w:pPr>
          <w:hyperlink w:anchor="_Toc111905409" w:history="1">
            <w:r w:rsidR="00B30650">
              <w:rPr>
                <w:rStyle w:val="af"/>
                <w:rFonts w:asciiTheme="minorEastAsia" w:eastAsiaTheme="minorEastAsia" w:hAnsiTheme="minorEastAsia"/>
                <w:noProof/>
              </w:rPr>
              <w:t>六、本次发行完成后的同业竞争及关联交易情况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_Toc111905409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19</w:t>
            </w:r>
            <w:r w:rsidR="00B30650">
              <w:rPr>
                <w:rFonts w:asciiTheme="minorEastAsia" w:eastAsiaTheme="minorEastAsia" w:hAnsiTheme="minorEastAsia"/>
                <w:noProof/>
              </w:rPr>
              <w:fldChar w:fldCharType="end"/>
            </w:r>
          </w:hyperlink>
        </w:p>
        <w:p w14:paraId="0EA00242" w14:textId="4DB08D0F" w:rsidR="00D26039" w:rsidRDefault="00BF65DE">
          <w:pPr>
            <w:pStyle w:val="20"/>
            <w:rPr>
              <w:rFonts w:asciiTheme="minorEastAsia" w:eastAsiaTheme="minorEastAsia" w:hAnsiTheme="minorEastAsia" w:cstheme="minorBidi"/>
              <w:smallCaps w:val="0"/>
              <w:noProof/>
              <w:sz w:val="21"/>
              <w:szCs w:val="22"/>
            </w:rPr>
          </w:pPr>
          <w:hyperlink w:anchor="_Toc111905410" w:history="1">
            <w:r w:rsidR="00B30650">
              <w:rPr>
                <w:rStyle w:val="af"/>
                <w:rFonts w:asciiTheme="minorEastAsia" w:eastAsiaTheme="minorEastAsia" w:hAnsiTheme="minorEastAsia"/>
                <w:noProof/>
              </w:rPr>
              <w:t>七、本次发行预案公告前24个月内重大交易情况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_Toc111905410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19</w:t>
            </w:r>
            <w:r w:rsidR="00B30650">
              <w:rPr>
                <w:rFonts w:asciiTheme="minorEastAsia" w:eastAsiaTheme="minorEastAsia" w:hAnsiTheme="minorEastAsia"/>
                <w:noProof/>
              </w:rPr>
              <w:fldChar w:fldCharType="end"/>
            </w:r>
          </w:hyperlink>
        </w:p>
        <w:p w14:paraId="2B8355A6" w14:textId="38F047D2" w:rsidR="00D26039" w:rsidRDefault="00BF65DE">
          <w:pPr>
            <w:pStyle w:val="20"/>
            <w:rPr>
              <w:rFonts w:asciiTheme="minorEastAsia" w:eastAsiaTheme="minorEastAsia" w:hAnsiTheme="minorEastAsia" w:cstheme="minorBidi"/>
              <w:smallCaps w:val="0"/>
              <w:noProof/>
              <w:sz w:val="21"/>
              <w:szCs w:val="22"/>
            </w:rPr>
          </w:pPr>
          <w:hyperlink w:anchor="_Toc111905411" w:history="1">
            <w:r w:rsidR="00B30650">
              <w:rPr>
                <w:rStyle w:val="af"/>
                <w:rFonts w:asciiTheme="minorEastAsia" w:eastAsiaTheme="minorEastAsia" w:hAnsiTheme="minorEastAsia"/>
                <w:noProof/>
              </w:rPr>
              <w:t>八、认购资金来源情况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_Toc111905411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20</w:t>
            </w:r>
            <w:r w:rsidR="00B30650">
              <w:rPr>
                <w:rFonts w:asciiTheme="minorEastAsia" w:eastAsiaTheme="minorEastAsia" w:hAnsiTheme="minorEastAsia"/>
                <w:noProof/>
              </w:rPr>
              <w:fldChar w:fldCharType="end"/>
            </w:r>
          </w:hyperlink>
        </w:p>
        <w:p w14:paraId="68799991" w14:textId="20D4A7E1" w:rsidR="00D26039" w:rsidRDefault="00BF65DE">
          <w:pPr>
            <w:pStyle w:val="10"/>
            <w:rPr>
              <w:rFonts w:cstheme="minorBidi"/>
              <w:noProof/>
              <w:sz w:val="21"/>
              <w:szCs w:val="22"/>
            </w:rPr>
          </w:pPr>
          <w:hyperlink w:anchor="_Toc111905412" w:history="1">
            <w:r w:rsidR="00B30650">
              <w:rPr>
                <w:rStyle w:val="af"/>
                <w:noProof/>
              </w:rPr>
              <w:t>第三节  本次非公开发行认购协议的主要内容</w:t>
            </w:r>
            <w:r w:rsidR="00B30650">
              <w:rPr>
                <w:noProof/>
              </w:rPr>
              <w:tab/>
            </w:r>
            <w:r w:rsidR="00B30650">
              <w:rPr>
                <w:noProof/>
              </w:rPr>
              <w:fldChar w:fldCharType="begin"/>
            </w:r>
            <w:r w:rsidR="00B30650">
              <w:rPr>
                <w:noProof/>
              </w:rPr>
              <w:instrText xml:space="preserve"> PAGEREF _Toc111905412 \h </w:instrText>
            </w:r>
            <w:r w:rsidR="00B30650">
              <w:rPr>
                <w:noProof/>
              </w:rPr>
            </w:r>
            <w:r w:rsidR="00B30650">
              <w:rPr>
                <w:noProof/>
              </w:rPr>
              <w:fldChar w:fldCharType="separate"/>
            </w:r>
            <w:r w:rsidR="005D006A">
              <w:rPr>
                <w:noProof/>
              </w:rPr>
              <w:t>21</w:t>
            </w:r>
            <w:r w:rsidR="00B30650">
              <w:rPr>
                <w:noProof/>
              </w:rPr>
              <w:fldChar w:fldCharType="end"/>
            </w:r>
          </w:hyperlink>
        </w:p>
        <w:p w14:paraId="1C054ED5" w14:textId="3E2D0C9E" w:rsidR="00D26039" w:rsidRDefault="00BF65DE">
          <w:pPr>
            <w:pStyle w:val="20"/>
            <w:rPr>
              <w:rFonts w:asciiTheme="minorEastAsia" w:eastAsiaTheme="minorEastAsia" w:hAnsiTheme="minorEastAsia" w:cstheme="minorBidi"/>
              <w:smallCaps w:val="0"/>
              <w:noProof/>
              <w:sz w:val="21"/>
              <w:szCs w:val="22"/>
            </w:rPr>
          </w:pPr>
          <w:hyperlink w:anchor="_Toc111905413" w:history="1">
            <w:r w:rsidR="00B30650">
              <w:rPr>
                <w:rStyle w:val="af"/>
                <w:rFonts w:asciiTheme="minorEastAsia" w:eastAsiaTheme="minorEastAsia" w:hAnsiTheme="minorEastAsia"/>
                <w:noProof/>
              </w:rPr>
              <w:t>一、协议主体与签订时间</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_Toc111905413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21</w:t>
            </w:r>
            <w:r w:rsidR="00B30650">
              <w:rPr>
                <w:rFonts w:asciiTheme="minorEastAsia" w:eastAsiaTheme="minorEastAsia" w:hAnsiTheme="minorEastAsia"/>
                <w:noProof/>
              </w:rPr>
              <w:fldChar w:fldCharType="end"/>
            </w:r>
          </w:hyperlink>
        </w:p>
        <w:p w14:paraId="12ADFE39" w14:textId="6B5D244B" w:rsidR="00D26039" w:rsidRDefault="00BF65DE">
          <w:pPr>
            <w:pStyle w:val="20"/>
            <w:rPr>
              <w:rFonts w:asciiTheme="minorEastAsia" w:eastAsiaTheme="minorEastAsia" w:hAnsiTheme="minorEastAsia" w:cstheme="minorBidi"/>
              <w:smallCaps w:val="0"/>
              <w:noProof/>
              <w:sz w:val="21"/>
              <w:szCs w:val="22"/>
            </w:rPr>
          </w:pPr>
          <w:hyperlink w:anchor="_Toc111905414" w:history="1">
            <w:r w:rsidR="00B30650">
              <w:rPr>
                <w:rStyle w:val="af"/>
                <w:rFonts w:asciiTheme="minorEastAsia" w:eastAsiaTheme="minorEastAsia" w:hAnsiTheme="minorEastAsia"/>
                <w:noProof/>
              </w:rPr>
              <w:t>二、认购协议的主要内容</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_Toc111905414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21</w:t>
            </w:r>
            <w:r w:rsidR="00B30650">
              <w:rPr>
                <w:rFonts w:asciiTheme="minorEastAsia" w:eastAsiaTheme="minorEastAsia" w:hAnsiTheme="minorEastAsia"/>
                <w:noProof/>
              </w:rPr>
              <w:fldChar w:fldCharType="end"/>
            </w:r>
          </w:hyperlink>
        </w:p>
        <w:p w14:paraId="37FE9711" w14:textId="771A013F" w:rsidR="00D26039" w:rsidRDefault="00BF65DE">
          <w:pPr>
            <w:pStyle w:val="20"/>
            <w:rPr>
              <w:rFonts w:asciiTheme="minorEastAsia" w:eastAsiaTheme="minorEastAsia" w:hAnsiTheme="minorEastAsia" w:cstheme="minorBidi"/>
              <w:smallCaps w:val="0"/>
              <w:noProof/>
              <w:sz w:val="21"/>
              <w:szCs w:val="22"/>
            </w:rPr>
          </w:pPr>
          <w:hyperlink w:anchor="_Toc111905415" w:history="1">
            <w:r w:rsidR="00B30650">
              <w:rPr>
                <w:rStyle w:val="af"/>
                <w:rFonts w:asciiTheme="minorEastAsia" w:eastAsiaTheme="minorEastAsia" w:hAnsiTheme="minorEastAsia"/>
                <w:noProof/>
              </w:rPr>
              <w:t>三、合同的生效条件和生效时间</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_Toc111905415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23</w:t>
            </w:r>
            <w:r w:rsidR="00B30650">
              <w:rPr>
                <w:rFonts w:asciiTheme="minorEastAsia" w:eastAsiaTheme="minorEastAsia" w:hAnsiTheme="minorEastAsia"/>
                <w:noProof/>
              </w:rPr>
              <w:fldChar w:fldCharType="end"/>
            </w:r>
          </w:hyperlink>
        </w:p>
        <w:p w14:paraId="3CF63028" w14:textId="3AC0AA24" w:rsidR="00D26039" w:rsidRDefault="00BF65DE">
          <w:pPr>
            <w:pStyle w:val="20"/>
            <w:rPr>
              <w:rFonts w:asciiTheme="minorEastAsia" w:eastAsiaTheme="minorEastAsia" w:hAnsiTheme="minorEastAsia" w:cstheme="minorBidi"/>
              <w:smallCaps w:val="0"/>
              <w:noProof/>
              <w:sz w:val="21"/>
              <w:szCs w:val="22"/>
            </w:rPr>
          </w:pPr>
          <w:hyperlink w:anchor="_Toc111905416" w:history="1">
            <w:r w:rsidR="00B30650">
              <w:rPr>
                <w:rStyle w:val="af"/>
                <w:rFonts w:asciiTheme="minorEastAsia" w:eastAsiaTheme="minorEastAsia" w:hAnsiTheme="minorEastAsia"/>
                <w:noProof/>
              </w:rPr>
              <w:t>四、违约责任条款</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_Toc111905416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23</w:t>
            </w:r>
            <w:r w:rsidR="00B30650">
              <w:rPr>
                <w:rFonts w:asciiTheme="minorEastAsia" w:eastAsiaTheme="minorEastAsia" w:hAnsiTheme="minorEastAsia"/>
                <w:noProof/>
              </w:rPr>
              <w:fldChar w:fldCharType="end"/>
            </w:r>
          </w:hyperlink>
        </w:p>
        <w:p w14:paraId="4BA24539" w14:textId="57DDCACC" w:rsidR="00D26039" w:rsidRDefault="00BF65DE">
          <w:pPr>
            <w:pStyle w:val="10"/>
            <w:rPr>
              <w:rFonts w:cstheme="minorBidi"/>
              <w:noProof/>
              <w:sz w:val="21"/>
              <w:szCs w:val="22"/>
            </w:rPr>
          </w:pPr>
          <w:hyperlink w:anchor="_Toc111905417" w:history="1">
            <w:r w:rsidR="00B30650">
              <w:rPr>
                <w:rStyle w:val="af"/>
                <w:noProof/>
              </w:rPr>
              <w:t>第四节  董事会关于本次募集资金使用的可行性分析</w:t>
            </w:r>
            <w:r w:rsidR="00B30650">
              <w:rPr>
                <w:noProof/>
              </w:rPr>
              <w:tab/>
            </w:r>
            <w:r w:rsidR="00B30650">
              <w:rPr>
                <w:noProof/>
              </w:rPr>
              <w:fldChar w:fldCharType="begin"/>
            </w:r>
            <w:r w:rsidR="00B30650">
              <w:rPr>
                <w:noProof/>
              </w:rPr>
              <w:instrText xml:space="preserve"> PAGEREF _Toc111905417 \h </w:instrText>
            </w:r>
            <w:r w:rsidR="00B30650">
              <w:rPr>
                <w:noProof/>
              </w:rPr>
            </w:r>
            <w:r w:rsidR="00B30650">
              <w:rPr>
                <w:noProof/>
              </w:rPr>
              <w:fldChar w:fldCharType="separate"/>
            </w:r>
            <w:r w:rsidR="005D006A">
              <w:rPr>
                <w:noProof/>
              </w:rPr>
              <w:t>24</w:t>
            </w:r>
            <w:r w:rsidR="00B30650">
              <w:rPr>
                <w:noProof/>
              </w:rPr>
              <w:fldChar w:fldCharType="end"/>
            </w:r>
          </w:hyperlink>
        </w:p>
        <w:p w14:paraId="2B467B9E" w14:textId="5D441344" w:rsidR="00D26039" w:rsidRDefault="00BF65DE">
          <w:pPr>
            <w:pStyle w:val="20"/>
            <w:rPr>
              <w:rFonts w:asciiTheme="minorEastAsia" w:eastAsiaTheme="minorEastAsia" w:hAnsiTheme="minorEastAsia" w:cstheme="minorBidi"/>
              <w:smallCaps w:val="0"/>
              <w:noProof/>
              <w:sz w:val="21"/>
              <w:szCs w:val="22"/>
            </w:rPr>
          </w:pPr>
          <w:hyperlink w:anchor="_Toc111905418" w:history="1">
            <w:r w:rsidR="00B30650">
              <w:rPr>
                <w:rStyle w:val="af"/>
                <w:rFonts w:asciiTheme="minorEastAsia" w:eastAsiaTheme="minorEastAsia" w:hAnsiTheme="minorEastAsia"/>
                <w:noProof/>
              </w:rPr>
              <w:t>一、本次非公开发行募集资金使用计划</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_Toc111905418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24</w:t>
            </w:r>
            <w:r w:rsidR="00B30650">
              <w:rPr>
                <w:rFonts w:asciiTheme="minorEastAsia" w:eastAsiaTheme="minorEastAsia" w:hAnsiTheme="minorEastAsia"/>
                <w:noProof/>
              </w:rPr>
              <w:fldChar w:fldCharType="end"/>
            </w:r>
          </w:hyperlink>
        </w:p>
        <w:p w14:paraId="4A01230E" w14:textId="0AE00BDB" w:rsidR="00D26039" w:rsidRDefault="00BF65DE">
          <w:pPr>
            <w:pStyle w:val="20"/>
            <w:rPr>
              <w:rFonts w:asciiTheme="minorEastAsia" w:eastAsiaTheme="minorEastAsia" w:hAnsiTheme="minorEastAsia" w:cstheme="minorBidi"/>
              <w:smallCaps w:val="0"/>
              <w:noProof/>
              <w:sz w:val="21"/>
              <w:szCs w:val="22"/>
            </w:rPr>
          </w:pPr>
          <w:hyperlink w:anchor="_Toc111905419" w:history="1">
            <w:r w:rsidR="00B30650">
              <w:rPr>
                <w:rStyle w:val="af"/>
                <w:rFonts w:asciiTheme="minorEastAsia" w:eastAsiaTheme="minorEastAsia" w:hAnsiTheme="minorEastAsia"/>
                <w:noProof/>
              </w:rPr>
              <w:t>二、本次募集资金的必要性和合理性分析</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_Toc111905419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24</w:t>
            </w:r>
            <w:r w:rsidR="00B30650">
              <w:rPr>
                <w:rFonts w:asciiTheme="minorEastAsia" w:eastAsiaTheme="minorEastAsia" w:hAnsiTheme="minorEastAsia"/>
                <w:noProof/>
              </w:rPr>
              <w:fldChar w:fldCharType="end"/>
            </w:r>
          </w:hyperlink>
        </w:p>
        <w:p w14:paraId="28AAB4F1" w14:textId="6545C8F4" w:rsidR="00D26039" w:rsidRDefault="00BF65DE">
          <w:pPr>
            <w:pStyle w:val="20"/>
            <w:rPr>
              <w:rFonts w:asciiTheme="minorEastAsia" w:eastAsiaTheme="minorEastAsia" w:hAnsiTheme="minorEastAsia" w:cstheme="minorBidi"/>
              <w:smallCaps w:val="0"/>
              <w:noProof/>
              <w:sz w:val="21"/>
              <w:szCs w:val="22"/>
            </w:rPr>
          </w:pPr>
          <w:hyperlink w:anchor="_Toc111905420" w:history="1">
            <w:r w:rsidR="00B30650">
              <w:rPr>
                <w:rStyle w:val="af"/>
                <w:rFonts w:asciiTheme="minorEastAsia" w:eastAsiaTheme="minorEastAsia" w:hAnsiTheme="minorEastAsia"/>
                <w:noProof/>
              </w:rPr>
              <w:t>三、本次募集资金运用对公司经营管理和财务状况的影响</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_Toc111905420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29</w:t>
            </w:r>
            <w:r w:rsidR="00B30650">
              <w:rPr>
                <w:rFonts w:asciiTheme="minorEastAsia" w:eastAsiaTheme="minorEastAsia" w:hAnsiTheme="minorEastAsia"/>
                <w:noProof/>
              </w:rPr>
              <w:fldChar w:fldCharType="end"/>
            </w:r>
          </w:hyperlink>
        </w:p>
        <w:p w14:paraId="37EC47C2" w14:textId="166E1A40" w:rsidR="00D26039" w:rsidRDefault="00BF65DE">
          <w:pPr>
            <w:pStyle w:val="20"/>
            <w:rPr>
              <w:rFonts w:asciiTheme="minorEastAsia" w:eastAsiaTheme="minorEastAsia" w:hAnsiTheme="minorEastAsia" w:cstheme="minorBidi"/>
              <w:smallCaps w:val="0"/>
              <w:noProof/>
              <w:sz w:val="21"/>
              <w:szCs w:val="22"/>
            </w:rPr>
          </w:pPr>
          <w:hyperlink w:anchor="_Toc111905421" w:history="1">
            <w:r w:rsidR="00B30650">
              <w:rPr>
                <w:rStyle w:val="af"/>
                <w:rFonts w:asciiTheme="minorEastAsia" w:eastAsiaTheme="minorEastAsia" w:hAnsiTheme="minorEastAsia"/>
                <w:noProof/>
              </w:rPr>
              <w:t>四、募集资金投资项目可行性结论</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_Toc111905421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29</w:t>
            </w:r>
            <w:r w:rsidR="00B30650">
              <w:rPr>
                <w:rFonts w:asciiTheme="minorEastAsia" w:eastAsiaTheme="minorEastAsia" w:hAnsiTheme="minorEastAsia"/>
                <w:noProof/>
              </w:rPr>
              <w:fldChar w:fldCharType="end"/>
            </w:r>
          </w:hyperlink>
        </w:p>
        <w:p w14:paraId="7E89BEE1" w14:textId="0D0A3B6F" w:rsidR="00D26039" w:rsidRDefault="00BF65DE">
          <w:pPr>
            <w:pStyle w:val="10"/>
            <w:rPr>
              <w:rFonts w:cstheme="minorBidi"/>
              <w:noProof/>
              <w:sz w:val="21"/>
              <w:szCs w:val="22"/>
            </w:rPr>
          </w:pPr>
          <w:hyperlink w:anchor="_Toc111905423" w:history="1">
            <w:r w:rsidR="00B30650">
              <w:rPr>
                <w:rStyle w:val="af"/>
                <w:noProof/>
              </w:rPr>
              <w:t>第五节  董事会关于本次发行对公司影响的讨论与分析</w:t>
            </w:r>
            <w:r w:rsidR="00B30650">
              <w:rPr>
                <w:noProof/>
              </w:rPr>
              <w:tab/>
            </w:r>
            <w:r w:rsidR="00B30650">
              <w:rPr>
                <w:noProof/>
              </w:rPr>
              <w:fldChar w:fldCharType="begin"/>
            </w:r>
            <w:r w:rsidR="00B30650">
              <w:rPr>
                <w:noProof/>
              </w:rPr>
              <w:instrText xml:space="preserve"> PAGEREF _Toc111905423 \h </w:instrText>
            </w:r>
            <w:r w:rsidR="00B30650">
              <w:rPr>
                <w:noProof/>
              </w:rPr>
            </w:r>
            <w:r w:rsidR="00B30650">
              <w:rPr>
                <w:noProof/>
              </w:rPr>
              <w:fldChar w:fldCharType="separate"/>
            </w:r>
            <w:r w:rsidR="005D006A">
              <w:rPr>
                <w:noProof/>
              </w:rPr>
              <w:t>31</w:t>
            </w:r>
            <w:r w:rsidR="00B30650">
              <w:rPr>
                <w:noProof/>
              </w:rPr>
              <w:fldChar w:fldCharType="end"/>
            </w:r>
          </w:hyperlink>
        </w:p>
        <w:p w14:paraId="056CC30A" w14:textId="21D19E13" w:rsidR="00D26039" w:rsidRDefault="00BF65DE">
          <w:pPr>
            <w:pStyle w:val="20"/>
            <w:rPr>
              <w:rFonts w:asciiTheme="minorEastAsia" w:eastAsiaTheme="minorEastAsia" w:hAnsiTheme="minorEastAsia" w:cstheme="minorBidi"/>
              <w:smallCaps w:val="0"/>
              <w:noProof/>
              <w:sz w:val="21"/>
              <w:szCs w:val="22"/>
            </w:rPr>
          </w:pPr>
          <w:hyperlink w:anchor="_Toc111905424" w:history="1">
            <w:r w:rsidR="00B30650">
              <w:rPr>
                <w:rStyle w:val="af"/>
                <w:rFonts w:asciiTheme="minorEastAsia" w:eastAsiaTheme="minorEastAsia" w:hAnsiTheme="minorEastAsia"/>
                <w:noProof/>
              </w:rPr>
              <w:t>一、本次发行后公司业务及资产整合计划、公司章程、股东结构、高级管理人员结构、业务结构的变动情况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_Toc111905424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31</w:t>
            </w:r>
            <w:r w:rsidR="00B30650">
              <w:rPr>
                <w:rFonts w:asciiTheme="minorEastAsia" w:eastAsiaTheme="minorEastAsia" w:hAnsiTheme="minorEastAsia"/>
                <w:noProof/>
              </w:rPr>
              <w:fldChar w:fldCharType="end"/>
            </w:r>
          </w:hyperlink>
        </w:p>
        <w:p w14:paraId="38830F81" w14:textId="71C3EDE3" w:rsidR="00D26039" w:rsidRDefault="00BF65DE">
          <w:pPr>
            <w:pStyle w:val="20"/>
            <w:rPr>
              <w:rFonts w:asciiTheme="minorEastAsia" w:eastAsiaTheme="minorEastAsia" w:hAnsiTheme="minorEastAsia" w:cstheme="minorBidi"/>
              <w:smallCaps w:val="0"/>
              <w:noProof/>
              <w:sz w:val="21"/>
              <w:szCs w:val="22"/>
            </w:rPr>
          </w:pPr>
          <w:hyperlink w:anchor="_Toc111905425" w:history="1">
            <w:r w:rsidR="00B30650">
              <w:rPr>
                <w:rStyle w:val="af"/>
                <w:rFonts w:asciiTheme="minorEastAsia" w:eastAsiaTheme="minorEastAsia" w:hAnsiTheme="minorEastAsia"/>
                <w:noProof/>
              </w:rPr>
              <w:t>二、本次发行后公司财务状况、盈利能力及现金流量的变动情况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_Toc111905425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32</w:t>
            </w:r>
            <w:r w:rsidR="00B30650">
              <w:rPr>
                <w:rFonts w:asciiTheme="minorEastAsia" w:eastAsiaTheme="minorEastAsia" w:hAnsiTheme="minorEastAsia"/>
                <w:noProof/>
              </w:rPr>
              <w:fldChar w:fldCharType="end"/>
            </w:r>
          </w:hyperlink>
        </w:p>
        <w:p w14:paraId="16F69C89" w14:textId="40DD8F34" w:rsidR="00D26039" w:rsidRDefault="00BF65DE">
          <w:pPr>
            <w:pStyle w:val="20"/>
            <w:rPr>
              <w:rFonts w:asciiTheme="minorEastAsia" w:eastAsiaTheme="minorEastAsia" w:hAnsiTheme="minorEastAsia" w:cstheme="minorBidi"/>
              <w:smallCaps w:val="0"/>
              <w:noProof/>
              <w:sz w:val="21"/>
              <w:szCs w:val="22"/>
            </w:rPr>
          </w:pPr>
          <w:hyperlink w:anchor="_Toc111905426" w:history="1">
            <w:r w:rsidR="00B30650">
              <w:rPr>
                <w:rStyle w:val="af"/>
                <w:rFonts w:asciiTheme="minorEastAsia" w:eastAsiaTheme="minorEastAsia" w:hAnsiTheme="minorEastAsia"/>
                <w:noProof/>
              </w:rPr>
              <w:t>三、公司与控股股东及其关联人之间的业务关系、管理关系、关联交易及同业竞争等变化情况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_Toc111905426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32</w:t>
            </w:r>
            <w:r w:rsidR="00B30650">
              <w:rPr>
                <w:rFonts w:asciiTheme="minorEastAsia" w:eastAsiaTheme="minorEastAsia" w:hAnsiTheme="minorEastAsia"/>
                <w:noProof/>
              </w:rPr>
              <w:fldChar w:fldCharType="end"/>
            </w:r>
          </w:hyperlink>
        </w:p>
        <w:p w14:paraId="0DDFF0FD" w14:textId="305B3735" w:rsidR="00D26039" w:rsidRDefault="00BF65DE">
          <w:pPr>
            <w:pStyle w:val="20"/>
            <w:rPr>
              <w:rFonts w:asciiTheme="minorEastAsia" w:eastAsiaTheme="minorEastAsia" w:hAnsiTheme="minorEastAsia" w:cstheme="minorBidi"/>
              <w:smallCaps w:val="0"/>
              <w:noProof/>
              <w:sz w:val="21"/>
              <w:szCs w:val="22"/>
            </w:rPr>
          </w:pPr>
          <w:hyperlink w:anchor="_Toc111905427" w:history="1">
            <w:r w:rsidR="00B30650">
              <w:rPr>
                <w:rStyle w:val="af"/>
                <w:rFonts w:asciiTheme="minorEastAsia" w:eastAsiaTheme="minorEastAsia" w:hAnsiTheme="minorEastAsia"/>
                <w:noProof/>
              </w:rPr>
              <w:t>四、本次发行完成后，公司是否存在资金、资产被控股股东及其关联人占用，或为控股股东及其关联人提供担保的情形</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_Toc111905427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33</w:t>
            </w:r>
            <w:r w:rsidR="00B30650">
              <w:rPr>
                <w:rFonts w:asciiTheme="minorEastAsia" w:eastAsiaTheme="minorEastAsia" w:hAnsiTheme="minorEastAsia"/>
                <w:noProof/>
              </w:rPr>
              <w:fldChar w:fldCharType="end"/>
            </w:r>
          </w:hyperlink>
        </w:p>
        <w:p w14:paraId="632CDCBF" w14:textId="5C75A0DE" w:rsidR="00D26039" w:rsidRDefault="00BF65DE">
          <w:pPr>
            <w:pStyle w:val="20"/>
            <w:rPr>
              <w:rFonts w:asciiTheme="minorEastAsia" w:eastAsiaTheme="minorEastAsia" w:hAnsiTheme="minorEastAsia" w:cstheme="minorBidi"/>
              <w:smallCaps w:val="0"/>
              <w:noProof/>
              <w:sz w:val="21"/>
              <w:szCs w:val="22"/>
            </w:rPr>
          </w:pPr>
          <w:hyperlink w:anchor="_Toc111905428" w:history="1">
            <w:r w:rsidR="00B30650">
              <w:rPr>
                <w:rStyle w:val="af"/>
                <w:rFonts w:asciiTheme="minorEastAsia" w:eastAsiaTheme="minorEastAsia" w:hAnsiTheme="minorEastAsia"/>
                <w:noProof/>
              </w:rPr>
              <w:t>五、本次发行对公司负债情况的影响</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_Toc111905428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33</w:t>
            </w:r>
            <w:r w:rsidR="00B30650">
              <w:rPr>
                <w:rFonts w:asciiTheme="minorEastAsia" w:eastAsiaTheme="minorEastAsia" w:hAnsiTheme="minorEastAsia"/>
                <w:noProof/>
              </w:rPr>
              <w:fldChar w:fldCharType="end"/>
            </w:r>
          </w:hyperlink>
        </w:p>
        <w:p w14:paraId="4B1D6620" w14:textId="2652CA9B" w:rsidR="00D26039" w:rsidRDefault="00BF65DE">
          <w:pPr>
            <w:pStyle w:val="20"/>
            <w:rPr>
              <w:rFonts w:asciiTheme="minorEastAsia" w:eastAsiaTheme="minorEastAsia" w:hAnsiTheme="minorEastAsia" w:cstheme="minorBidi"/>
              <w:smallCaps w:val="0"/>
              <w:noProof/>
              <w:sz w:val="21"/>
              <w:szCs w:val="22"/>
            </w:rPr>
          </w:pPr>
          <w:hyperlink w:anchor="_Toc111905429" w:history="1">
            <w:r w:rsidR="00B30650">
              <w:rPr>
                <w:rStyle w:val="af"/>
                <w:rFonts w:asciiTheme="minorEastAsia" w:eastAsiaTheme="minorEastAsia" w:hAnsiTheme="minorEastAsia"/>
                <w:noProof/>
              </w:rPr>
              <w:t>六、本次股票发行相关的风险说明</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_Toc111905429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33</w:t>
            </w:r>
            <w:r w:rsidR="00B30650">
              <w:rPr>
                <w:rFonts w:asciiTheme="minorEastAsia" w:eastAsiaTheme="minorEastAsia" w:hAnsiTheme="minorEastAsia"/>
                <w:noProof/>
              </w:rPr>
              <w:fldChar w:fldCharType="end"/>
            </w:r>
          </w:hyperlink>
        </w:p>
        <w:p w14:paraId="41E3B231" w14:textId="3AA22B82" w:rsidR="00D26039" w:rsidRDefault="00BF65DE">
          <w:pPr>
            <w:pStyle w:val="10"/>
            <w:rPr>
              <w:rFonts w:cstheme="minorBidi"/>
              <w:noProof/>
              <w:sz w:val="21"/>
              <w:szCs w:val="22"/>
            </w:rPr>
          </w:pPr>
          <w:hyperlink w:anchor="_Toc111905430" w:history="1">
            <w:r w:rsidR="00B30650">
              <w:rPr>
                <w:rStyle w:val="af"/>
                <w:noProof/>
              </w:rPr>
              <w:t>第六节 公司股利分配政策及股利分配情况</w:t>
            </w:r>
            <w:r w:rsidR="00B30650">
              <w:rPr>
                <w:noProof/>
              </w:rPr>
              <w:tab/>
            </w:r>
            <w:r w:rsidR="00B30650">
              <w:rPr>
                <w:noProof/>
              </w:rPr>
              <w:fldChar w:fldCharType="begin"/>
            </w:r>
            <w:r w:rsidR="00B30650">
              <w:rPr>
                <w:noProof/>
              </w:rPr>
              <w:instrText xml:space="preserve"> PAGEREF _Toc111905430 \h </w:instrText>
            </w:r>
            <w:r w:rsidR="00B30650">
              <w:rPr>
                <w:noProof/>
              </w:rPr>
            </w:r>
            <w:r w:rsidR="00B30650">
              <w:rPr>
                <w:noProof/>
              </w:rPr>
              <w:fldChar w:fldCharType="separate"/>
            </w:r>
            <w:r w:rsidR="005D006A">
              <w:rPr>
                <w:noProof/>
              </w:rPr>
              <w:t>36</w:t>
            </w:r>
            <w:r w:rsidR="00B30650">
              <w:rPr>
                <w:noProof/>
              </w:rPr>
              <w:fldChar w:fldCharType="end"/>
            </w:r>
          </w:hyperlink>
        </w:p>
        <w:p w14:paraId="5737D01A" w14:textId="19EC6872" w:rsidR="00D26039" w:rsidRDefault="00BF65DE">
          <w:pPr>
            <w:pStyle w:val="20"/>
            <w:rPr>
              <w:rFonts w:asciiTheme="minorEastAsia" w:eastAsiaTheme="minorEastAsia" w:hAnsiTheme="minorEastAsia" w:cstheme="minorBidi"/>
              <w:smallCaps w:val="0"/>
              <w:noProof/>
              <w:sz w:val="21"/>
              <w:szCs w:val="22"/>
            </w:rPr>
          </w:pPr>
          <w:hyperlink w:anchor="_Toc111905431" w:history="1">
            <w:r w:rsidR="00B30650">
              <w:rPr>
                <w:rStyle w:val="af"/>
                <w:rFonts w:asciiTheme="minorEastAsia" w:eastAsiaTheme="minorEastAsia" w:hAnsiTheme="minorEastAsia"/>
                <w:noProof/>
                <w:kern w:val="0"/>
              </w:rPr>
              <w:t>一、公司股利分配政策</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_Toc111905431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36</w:t>
            </w:r>
            <w:r w:rsidR="00B30650">
              <w:rPr>
                <w:rFonts w:asciiTheme="minorEastAsia" w:eastAsiaTheme="minorEastAsia" w:hAnsiTheme="minorEastAsia"/>
                <w:noProof/>
              </w:rPr>
              <w:fldChar w:fldCharType="end"/>
            </w:r>
          </w:hyperlink>
        </w:p>
        <w:p w14:paraId="1337482B" w14:textId="5EC82D76" w:rsidR="00D26039" w:rsidRDefault="00BF65DE">
          <w:pPr>
            <w:pStyle w:val="20"/>
            <w:rPr>
              <w:rFonts w:asciiTheme="minorEastAsia" w:eastAsiaTheme="minorEastAsia" w:hAnsiTheme="minorEastAsia" w:cstheme="minorBidi"/>
              <w:smallCaps w:val="0"/>
              <w:noProof/>
              <w:sz w:val="21"/>
              <w:szCs w:val="22"/>
            </w:rPr>
          </w:pPr>
          <w:hyperlink w:anchor="_Toc111905432" w:history="1">
            <w:r w:rsidR="00B30650">
              <w:rPr>
                <w:rStyle w:val="af"/>
                <w:rFonts w:asciiTheme="minorEastAsia" w:eastAsiaTheme="minorEastAsia" w:hAnsiTheme="minorEastAsia"/>
                <w:noProof/>
                <w:kern w:val="0"/>
              </w:rPr>
              <w:t>二、公司股利分配情况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_Toc111905432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38</w:t>
            </w:r>
            <w:r w:rsidR="00B30650">
              <w:rPr>
                <w:rFonts w:asciiTheme="minorEastAsia" w:eastAsiaTheme="minorEastAsia" w:hAnsiTheme="minorEastAsia"/>
                <w:noProof/>
              </w:rPr>
              <w:fldChar w:fldCharType="end"/>
            </w:r>
          </w:hyperlink>
        </w:p>
        <w:p w14:paraId="4AD8617A" w14:textId="09A46BEA" w:rsidR="00D26039" w:rsidRDefault="00BF65DE">
          <w:pPr>
            <w:pStyle w:val="20"/>
            <w:rPr>
              <w:rFonts w:asciiTheme="minorEastAsia" w:eastAsiaTheme="minorEastAsia" w:hAnsiTheme="minorEastAsia" w:cstheme="minorBidi"/>
              <w:smallCaps w:val="0"/>
              <w:noProof/>
              <w:sz w:val="21"/>
              <w:szCs w:val="22"/>
            </w:rPr>
          </w:pPr>
          <w:hyperlink w:anchor="_Toc111905433" w:history="1">
            <w:r w:rsidR="00B30650">
              <w:rPr>
                <w:rStyle w:val="af"/>
                <w:rFonts w:asciiTheme="minorEastAsia" w:eastAsiaTheme="minorEastAsia" w:hAnsiTheme="minorEastAsia"/>
                <w:noProof/>
                <w:kern w:val="0"/>
              </w:rPr>
              <w:t>三、公司未来三年（2022</w:t>
            </w:r>
            <w:r w:rsidR="00044CA0">
              <w:rPr>
                <w:rStyle w:val="af"/>
                <w:rFonts w:asciiTheme="minorEastAsia" w:eastAsiaTheme="minorEastAsia" w:hAnsiTheme="minorEastAsia" w:hint="eastAsia"/>
                <w:noProof/>
                <w:kern w:val="0"/>
              </w:rPr>
              <w:t>年</w:t>
            </w:r>
            <w:r w:rsidR="00B30650">
              <w:rPr>
                <w:rStyle w:val="af"/>
                <w:rFonts w:asciiTheme="minorEastAsia" w:eastAsiaTheme="minorEastAsia" w:hAnsiTheme="minorEastAsia"/>
                <w:noProof/>
                <w:kern w:val="0"/>
              </w:rPr>
              <w:t>-2024年）股东</w:t>
            </w:r>
            <w:r w:rsidR="005B321A">
              <w:rPr>
                <w:rStyle w:val="af"/>
                <w:rFonts w:asciiTheme="minorEastAsia" w:eastAsiaTheme="minorEastAsia" w:hAnsiTheme="minorEastAsia"/>
                <w:noProof/>
                <w:kern w:val="0"/>
              </w:rPr>
              <w:t>回报规划</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_Toc111905433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39</w:t>
            </w:r>
            <w:r w:rsidR="00B30650">
              <w:rPr>
                <w:rFonts w:asciiTheme="minorEastAsia" w:eastAsiaTheme="minorEastAsia" w:hAnsiTheme="minorEastAsia"/>
                <w:noProof/>
              </w:rPr>
              <w:fldChar w:fldCharType="end"/>
            </w:r>
          </w:hyperlink>
        </w:p>
        <w:p w14:paraId="6A206693" w14:textId="4AE341A1" w:rsidR="00D26039" w:rsidRDefault="00BF65DE">
          <w:pPr>
            <w:pStyle w:val="10"/>
            <w:rPr>
              <w:rFonts w:cstheme="minorBidi"/>
              <w:noProof/>
              <w:sz w:val="21"/>
              <w:szCs w:val="22"/>
            </w:rPr>
          </w:pPr>
          <w:hyperlink w:anchor="_Toc111905434" w:history="1">
            <w:r w:rsidR="00B30650">
              <w:rPr>
                <w:rStyle w:val="af"/>
                <w:noProof/>
              </w:rPr>
              <w:t>第七节  关于本次非公开发行股票摊薄即期回报的风险提示及拟采取的填补措施</w:t>
            </w:r>
            <w:r w:rsidR="00B30650">
              <w:rPr>
                <w:noProof/>
              </w:rPr>
              <w:tab/>
            </w:r>
            <w:r w:rsidR="00B30650">
              <w:rPr>
                <w:noProof/>
              </w:rPr>
              <w:fldChar w:fldCharType="begin"/>
            </w:r>
            <w:r w:rsidR="00B30650">
              <w:rPr>
                <w:noProof/>
              </w:rPr>
              <w:instrText xml:space="preserve"> PAGEREF _Toc111905434 \h </w:instrText>
            </w:r>
            <w:r w:rsidR="00B30650">
              <w:rPr>
                <w:noProof/>
              </w:rPr>
            </w:r>
            <w:r w:rsidR="00B30650">
              <w:rPr>
                <w:noProof/>
              </w:rPr>
              <w:fldChar w:fldCharType="separate"/>
            </w:r>
            <w:r w:rsidR="005D006A">
              <w:rPr>
                <w:noProof/>
              </w:rPr>
              <w:t>43</w:t>
            </w:r>
            <w:r w:rsidR="00B30650">
              <w:rPr>
                <w:noProof/>
              </w:rPr>
              <w:fldChar w:fldCharType="end"/>
            </w:r>
          </w:hyperlink>
        </w:p>
        <w:p w14:paraId="780C0CC3" w14:textId="067F89A8" w:rsidR="00D26039" w:rsidRDefault="00BF65DE">
          <w:pPr>
            <w:pStyle w:val="20"/>
            <w:rPr>
              <w:rFonts w:asciiTheme="minorEastAsia" w:eastAsiaTheme="minorEastAsia" w:hAnsiTheme="minorEastAsia" w:cstheme="minorBidi"/>
              <w:smallCaps w:val="0"/>
              <w:noProof/>
              <w:sz w:val="21"/>
              <w:szCs w:val="22"/>
            </w:rPr>
          </w:pPr>
          <w:hyperlink w:anchor="_Toc111905435" w:history="1">
            <w:r w:rsidR="00B30650">
              <w:rPr>
                <w:rStyle w:val="af"/>
                <w:rFonts w:asciiTheme="minorEastAsia" w:eastAsiaTheme="minorEastAsia" w:hAnsiTheme="minorEastAsia"/>
                <w:noProof/>
              </w:rPr>
              <w:t>一、本次非公开发行摊薄即期回报对公司主要财务指标的影响</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_Toc111905435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43</w:t>
            </w:r>
            <w:r w:rsidR="00B30650">
              <w:rPr>
                <w:rFonts w:asciiTheme="minorEastAsia" w:eastAsiaTheme="minorEastAsia" w:hAnsiTheme="minorEastAsia"/>
                <w:noProof/>
              </w:rPr>
              <w:fldChar w:fldCharType="end"/>
            </w:r>
          </w:hyperlink>
        </w:p>
        <w:p w14:paraId="01527C3F" w14:textId="127B261B" w:rsidR="00D26039" w:rsidRDefault="00BF65DE">
          <w:pPr>
            <w:pStyle w:val="20"/>
            <w:rPr>
              <w:rFonts w:asciiTheme="minorEastAsia" w:eastAsiaTheme="minorEastAsia" w:hAnsiTheme="minorEastAsia" w:cstheme="minorBidi"/>
              <w:smallCaps w:val="0"/>
              <w:noProof/>
              <w:sz w:val="21"/>
              <w:szCs w:val="22"/>
            </w:rPr>
          </w:pPr>
          <w:hyperlink w:anchor="_Toc111905436" w:history="1">
            <w:r w:rsidR="00B30650">
              <w:rPr>
                <w:rStyle w:val="af"/>
                <w:rFonts w:asciiTheme="minorEastAsia" w:eastAsiaTheme="minorEastAsia" w:hAnsiTheme="minorEastAsia"/>
                <w:noProof/>
              </w:rPr>
              <w:t>二、对于本次非公开发行摊薄即期回报的特别风险提示</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_Toc111905436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45</w:t>
            </w:r>
            <w:r w:rsidR="00B30650">
              <w:rPr>
                <w:rFonts w:asciiTheme="minorEastAsia" w:eastAsiaTheme="minorEastAsia" w:hAnsiTheme="minorEastAsia"/>
                <w:noProof/>
              </w:rPr>
              <w:fldChar w:fldCharType="end"/>
            </w:r>
          </w:hyperlink>
        </w:p>
        <w:p w14:paraId="54752379" w14:textId="358DAC73" w:rsidR="00D26039" w:rsidRDefault="00BF65DE">
          <w:pPr>
            <w:pStyle w:val="20"/>
            <w:rPr>
              <w:rFonts w:asciiTheme="minorEastAsia" w:eastAsiaTheme="minorEastAsia" w:hAnsiTheme="minorEastAsia" w:cstheme="minorBidi"/>
              <w:smallCaps w:val="0"/>
              <w:noProof/>
              <w:sz w:val="21"/>
              <w:szCs w:val="22"/>
            </w:rPr>
          </w:pPr>
          <w:hyperlink w:anchor="_Toc111905437" w:history="1">
            <w:r w:rsidR="00B30650">
              <w:rPr>
                <w:rStyle w:val="af"/>
                <w:rFonts w:asciiTheme="minorEastAsia" w:eastAsiaTheme="minorEastAsia" w:hAnsiTheme="minorEastAsia"/>
                <w:noProof/>
              </w:rPr>
              <w:t>三、本次非公开发行的必要性与合理性</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_Toc111905437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45</w:t>
            </w:r>
            <w:r w:rsidR="00B30650">
              <w:rPr>
                <w:rFonts w:asciiTheme="minorEastAsia" w:eastAsiaTheme="minorEastAsia" w:hAnsiTheme="minorEastAsia"/>
                <w:noProof/>
              </w:rPr>
              <w:fldChar w:fldCharType="end"/>
            </w:r>
          </w:hyperlink>
        </w:p>
        <w:p w14:paraId="2CDEC7B4" w14:textId="62ECBD24" w:rsidR="00D26039" w:rsidRDefault="00BF65DE">
          <w:pPr>
            <w:pStyle w:val="20"/>
            <w:rPr>
              <w:rFonts w:asciiTheme="minorEastAsia" w:eastAsiaTheme="minorEastAsia" w:hAnsiTheme="minorEastAsia" w:cstheme="minorBidi"/>
              <w:smallCaps w:val="0"/>
              <w:noProof/>
              <w:sz w:val="21"/>
              <w:szCs w:val="22"/>
            </w:rPr>
          </w:pPr>
          <w:hyperlink w:anchor="_Toc111905438" w:history="1">
            <w:r w:rsidR="00B30650">
              <w:rPr>
                <w:rStyle w:val="af"/>
                <w:rFonts w:asciiTheme="minorEastAsia" w:eastAsiaTheme="minorEastAsia" w:hAnsiTheme="minorEastAsia"/>
                <w:noProof/>
              </w:rPr>
              <w:t>四、本次募集资金投资项目与公司现有业务的关系，公司从事募集资金投资项目在人员、技术、市场等方面的储备情况</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_Toc111905438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45</w:t>
            </w:r>
            <w:r w:rsidR="00B30650">
              <w:rPr>
                <w:rFonts w:asciiTheme="minorEastAsia" w:eastAsiaTheme="minorEastAsia" w:hAnsiTheme="minorEastAsia"/>
                <w:noProof/>
              </w:rPr>
              <w:fldChar w:fldCharType="end"/>
            </w:r>
          </w:hyperlink>
        </w:p>
        <w:p w14:paraId="79A01529" w14:textId="1D6528EC" w:rsidR="00D26039" w:rsidRDefault="00BF65DE">
          <w:pPr>
            <w:pStyle w:val="20"/>
            <w:rPr>
              <w:rFonts w:asciiTheme="minorEastAsia" w:eastAsiaTheme="minorEastAsia" w:hAnsiTheme="minorEastAsia" w:cstheme="minorBidi"/>
              <w:smallCaps w:val="0"/>
              <w:noProof/>
              <w:sz w:val="21"/>
              <w:szCs w:val="22"/>
            </w:rPr>
          </w:pPr>
          <w:hyperlink w:anchor="_Toc111905439" w:history="1">
            <w:r w:rsidR="00B30650">
              <w:rPr>
                <w:rStyle w:val="af"/>
                <w:rFonts w:asciiTheme="minorEastAsia" w:eastAsiaTheme="minorEastAsia" w:hAnsiTheme="minorEastAsia"/>
                <w:noProof/>
              </w:rPr>
              <w:t>五、公司应对本次非公开发行摊薄即期回报的填补措施</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_Toc111905439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46</w:t>
            </w:r>
            <w:r w:rsidR="00B30650">
              <w:rPr>
                <w:rFonts w:asciiTheme="minorEastAsia" w:eastAsiaTheme="minorEastAsia" w:hAnsiTheme="minorEastAsia"/>
                <w:noProof/>
              </w:rPr>
              <w:fldChar w:fldCharType="end"/>
            </w:r>
          </w:hyperlink>
        </w:p>
        <w:p w14:paraId="0D58BEC2" w14:textId="3D554CA1" w:rsidR="00D26039" w:rsidRDefault="00BF65DE">
          <w:pPr>
            <w:pStyle w:val="20"/>
            <w:rPr>
              <w:rFonts w:asciiTheme="minorHAnsi" w:eastAsiaTheme="minorEastAsia" w:hAnsiTheme="minorHAnsi" w:cstheme="minorBidi"/>
              <w:smallCaps w:val="0"/>
              <w:noProof/>
              <w:sz w:val="21"/>
              <w:szCs w:val="22"/>
            </w:rPr>
          </w:pPr>
          <w:hyperlink w:anchor="_Toc111905440" w:history="1">
            <w:r w:rsidR="00B30650">
              <w:rPr>
                <w:rStyle w:val="af"/>
                <w:rFonts w:asciiTheme="minorEastAsia" w:eastAsiaTheme="minorEastAsia" w:hAnsiTheme="minorEastAsia"/>
                <w:noProof/>
              </w:rPr>
              <w:t>六、相关主体关于公司本次非公开发行股票填补回报措施能够得到切实履行做出的承诺</w:t>
            </w:r>
            <w:r w:rsidR="00B30650">
              <w:rPr>
                <w:rFonts w:asciiTheme="minorEastAsia" w:eastAsiaTheme="minorEastAsia" w:hAnsiTheme="minorEastAsia"/>
                <w:noProof/>
              </w:rPr>
              <w:tab/>
            </w:r>
            <w:r w:rsidR="00B30650">
              <w:rPr>
                <w:rFonts w:asciiTheme="minorEastAsia" w:eastAsiaTheme="minorEastAsia" w:hAnsiTheme="minorEastAsia"/>
                <w:noProof/>
              </w:rPr>
              <w:fldChar w:fldCharType="begin"/>
            </w:r>
            <w:r w:rsidR="00B30650">
              <w:rPr>
                <w:rFonts w:asciiTheme="minorEastAsia" w:eastAsiaTheme="minorEastAsia" w:hAnsiTheme="minorEastAsia"/>
                <w:noProof/>
              </w:rPr>
              <w:instrText xml:space="preserve"> PAGEREF _Toc111905440 \h </w:instrText>
            </w:r>
            <w:r w:rsidR="00B30650">
              <w:rPr>
                <w:rFonts w:asciiTheme="minorEastAsia" w:eastAsiaTheme="minorEastAsia" w:hAnsiTheme="minorEastAsia"/>
                <w:noProof/>
              </w:rPr>
            </w:r>
            <w:r w:rsidR="00B30650">
              <w:rPr>
                <w:rFonts w:asciiTheme="minorEastAsia" w:eastAsiaTheme="minorEastAsia" w:hAnsiTheme="minorEastAsia"/>
                <w:noProof/>
              </w:rPr>
              <w:fldChar w:fldCharType="separate"/>
            </w:r>
            <w:r w:rsidR="005D006A">
              <w:rPr>
                <w:rFonts w:asciiTheme="minorEastAsia" w:eastAsiaTheme="minorEastAsia" w:hAnsiTheme="minorEastAsia"/>
                <w:noProof/>
              </w:rPr>
              <w:t>47</w:t>
            </w:r>
            <w:r w:rsidR="00B30650">
              <w:rPr>
                <w:rFonts w:asciiTheme="minorEastAsia" w:eastAsiaTheme="minorEastAsia" w:hAnsiTheme="minorEastAsia"/>
                <w:noProof/>
              </w:rPr>
              <w:fldChar w:fldCharType="end"/>
            </w:r>
          </w:hyperlink>
        </w:p>
        <w:p w14:paraId="209ACB81" w14:textId="77777777" w:rsidR="00D26039" w:rsidRDefault="00B30650">
          <w:pPr>
            <w:rPr>
              <w:lang w:val="zh-CN"/>
            </w:rPr>
          </w:pPr>
          <w:r>
            <w:rPr>
              <w:rFonts w:asciiTheme="minorHAnsi" w:hAnsiTheme="minorHAnsi" w:cstheme="minorHAnsi"/>
              <w:b/>
              <w:bCs/>
              <w:caps/>
              <w:sz w:val="20"/>
              <w:szCs w:val="20"/>
            </w:rPr>
            <w:fldChar w:fldCharType="end"/>
          </w:r>
        </w:p>
      </w:sdtContent>
    </w:sdt>
    <w:p w14:paraId="3781D08F" w14:textId="77777777" w:rsidR="00D26039" w:rsidRDefault="00D26039">
      <w:pPr>
        <w:keepNext/>
        <w:keepLines/>
        <w:autoSpaceDE w:val="0"/>
        <w:spacing w:beforeLines="50" w:before="156" w:afterLines="50" w:after="156" w:line="360" w:lineRule="auto"/>
        <w:jc w:val="center"/>
        <w:outlineLvl w:val="0"/>
        <w:rPr>
          <w:rFonts w:eastAsia="黑体"/>
          <w:b/>
          <w:bCs/>
          <w:kern w:val="44"/>
          <w:sz w:val="32"/>
          <w:szCs w:val="32"/>
        </w:rPr>
        <w:sectPr w:rsidR="00D26039">
          <w:footerReference w:type="default" r:id="rId11"/>
          <w:pgSz w:w="11906" w:h="16838"/>
          <w:pgMar w:top="1440" w:right="1800" w:bottom="1440" w:left="1800" w:header="851" w:footer="992" w:gutter="0"/>
          <w:pgNumType w:start="1"/>
          <w:cols w:space="425"/>
          <w:docGrid w:type="lines" w:linePitch="312"/>
        </w:sectPr>
      </w:pPr>
      <w:bookmarkStart w:id="18" w:name="_Toc512526890"/>
      <w:bookmarkStart w:id="19" w:name="_Toc512526895"/>
    </w:p>
    <w:p w14:paraId="0A2ACE5A" w14:textId="77777777" w:rsidR="00D26039" w:rsidRDefault="00B30650">
      <w:pPr>
        <w:keepNext/>
        <w:keepLines/>
        <w:autoSpaceDE w:val="0"/>
        <w:spacing w:beforeLines="50" w:before="156" w:afterLines="50" w:after="156" w:line="360" w:lineRule="auto"/>
        <w:jc w:val="center"/>
        <w:outlineLvl w:val="0"/>
        <w:rPr>
          <w:rFonts w:eastAsia="黑体"/>
          <w:b/>
          <w:bCs/>
          <w:kern w:val="44"/>
          <w:sz w:val="32"/>
          <w:szCs w:val="32"/>
        </w:rPr>
      </w:pPr>
      <w:bookmarkStart w:id="20" w:name="_Toc111905394"/>
      <w:r>
        <w:rPr>
          <w:rFonts w:eastAsia="黑体"/>
          <w:b/>
          <w:bCs/>
          <w:kern w:val="44"/>
          <w:sz w:val="32"/>
          <w:szCs w:val="32"/>
        </w:rPr>
        <w:lastRenderedPageBreak/>
        <w:t>第一</w:t>
      </w:r>
      <w:r>
        <w:rPr>
          <w:rFonts w:eastAsia="黑体" w:hint="eastAsia"/>
          <w:b/>
          <w:bCs/>
          <w:kern w:val="44"/>
          <w:sz w:val="32"/>
          <w:szCs w:val="32"/>
        </w:rPr>
        <w:t>节</w:t>
      </w:r>
      <w:r>
        <w:rPr>
          <w:rFonts w:eastAsia="黑体"/>
          <w:b/>
          <w:bCs/>
          <w:kern w:val="44"/>
          <w:sz w:val="32"/>
          <w:szCs w:val="32"/>
        </w:rPr>
        <w:t xml:space="preserve">  </w:t>
      </w:r>
      <w:r>
        <w:rPr>
          <w:rFonts w:eastAsia="黑体"/>
          <w:b/>
          <w:bCs/>
          <w:kern w:val="44"/>
          <w:sz w:val="32"/>
          <w:szCs w:val="32"/>
        </w:rPr>
        <w:t>本次非公开发行股票方案概要</w:t>
      </w:r>
      <w:bookmarkEnd w:id="18"/>
      <w:bookmarkEnd w:id="20"/>
    </w:p>
    <w:p w14:paraId="273B025A" w14:textId="77777777" w:rsidR="00D26039" w:rsidRDefault="00B30650">
      <w:pPr>
        <w:keepNext/>
        <w:keepLines/>
        <w:autoSpaceDE w:val="0"/>
        <w:spacing w:beforeLines="50" w:before="156" w:afterLines="50" w:after="156" w:line="360" w:lineRule="auto"/>
        <w:outlineLvl w:val="1"/>
        <w:rPr>
          <w:rFonts w:eastAsia="黑体"/>
          <w:b/>
          <w:bCs/>
          <w:kern w:val="0"/>
          <w:sz w:val="28"/>
          <w:szCs w:val="32"/>
        </w:rPr>
      </w:pPr>
      <w:bookmarkStart w:id="21" w:name="_Toc512526891"/>
      <w:bookmarkStart w:id="22" w:name="_Toc111905395"/>
      <w:r>
        <w:rPr>
          <w:rFonts w:eastAsia="黑体"/>
          <w:b/>
          <w:bCs/>
          <w:kern w:val="0"/>
          <w:sz w:val="28"/>
          <w:szCs w:val="32"/>
        </w:rPr>
        <w:t>一、发行人基本情况</w:t>
      </w:r>
      <w:bookmarkEnd w:id="21"/>
      <w:bookmarkEnd w:id="22"/>
    </w:p>
    <w:tbl>
      <w:tblPr>
        <w:tblW w:w="8758"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4A0" w:firstRow="1" w:lastRow="0" w:firstColumn="1" w:lastColumn="0" w:noHBand="0" w:noVBand="1"/>
      </w:tblPr>
      <w:tblGrid>
        <w:gridCol w:w="1384"/>
        <w:gridCol w:w="7374"/>
      </w:tblGrid>
      <w:tr w:rsidR="00D26039" w14:paraId="3536C01F" w14:textId="77777777">
        <w:trPr>
          <w:trHeight w:val="397"/>
          <w:jc w:val="center"/>
        </w:trPr>
        <w:tc>
          <w:tcPr>
            <w:tcW w:w="1384" w:type="dxa"/>
            <w:vAlign w:val="center"/>
          </w:tcPr>
          <w:p w14:paraId="1DD5FE41" w14:textId="77777777" w:rsidR="00D26039" w:rsidRDefault="00B30650">
            <w:pPr>
              <w:autoSpaceDE w:val="0"/>
              <w:rPr>
                <w:bCs/>
                <w:szCs w:val="21"/>
              </w:rPr>
            </w:pPr>
            <w:r>
              <w:rPr>
                <w:bCs/>
                <w:szCs w:val="21"/>
              </w:rPr>
              <w:t>中文名称</w:t>
            </w:r>
          </w:p>
        </w:tc>
        <w:tc>
          <w:tcPr>
            <w:tcW w:w="7374" w:type="dxa"/>
            <w:vAlign w:val="center"/>
          </w:tcPr>
          <w:p w14:paraId="3587C8FF" w14:textId="77777777" w:rsidR="00D26039" w:rsidRDefault="00B30650">
            <w:pPr>
              <w:autoSpaceDE w:val="0"/>
              <w:rPr>
                <w:rFonts w:ascii="宋体" w:hAnsi="宋体"/>
                <w:szCs w:val="21"/>
              </w:rPr>
            </w:pPr>
            <w:r>
              <w:rPr>
                <w:rFonts w:ascii="宋体" w:hAnsi="宋体" w:hint="eastAsia"/>
                <w:color w:val="000000"/>
                <w:kern w:val="0"/>
                <w:szCs w:val="21"/>
              </w:rPr>
              <w:t>安徽铜峰电子股份有限公司</w:t>
            </w:r>
          </w:p>
        </w:tc>
      </w:tr>
      <w:tr w:rsidR="00D26039" w14:paraId="35541AAB" w14:textId="77777777">
        <w:trPr>
          <w:trHeight w:val="397"/>
          <w:jc w:val="center"/>
        </w:trPr>
        <w:tc>
          <w:tcPr>
            <w:tcW w:w="1384" w:type="dxa"/>
            <w:vAlign w:val="center"/>
          </w:tcPr>
          <w:p w14:paraId="107524CE" w14:textId="77777777" w:rsidR="00D26039" w:rsidRDefault="00B30650">
            <w:pPr>
              <w:autoSpaceDE w:val="0"/>
              <w:rPr>
                <w:bCs/>
                <w:szCs w:val="21"/>
              </w:rPr>
            </w:pPr>
            <w:r>
              <w:rPr>
                <w:bCs/>
                <w:szCs w:val="21"/>
              </w:rPr>
              <w:t>英文名称</w:t>
            </w:r>
          </w:p>
        </w:tc>
        <w:tc>
          <w:tcPr>
            <w:tcW w:w="7374" w:type="dxa"/>
            <w:vAlign w:val="center"/>
          </w:tcPr>
          <w:p w14:paraId="7911A782" w14:textId="77777777" w:rsidR="00D26039" w:rsidRDefault="00B30650">
            <w:pPr>
              <w:autoSpaceDE w:val="0"/>
              <w:rPr>
                <w:rFonts w:ascii="宋体" w:hAnsi="宋体"/>
                <w:szCs w:val="21"/>
              </w:rPr>
            </w:pPr>
            <w:r>
              <w:rPr>
                <w:szCs w:val="21"/>
              </w:rPr>
              <w:t>ANHUI TONGFENG ELECTRONICS COMPANY LIMITED</w:t>
            </w:r>
          </w:p>
        </w:tc>
      </w:tr>
      <w:tr w:rsidR="00D26039" w14:paraId="4A418FD8" w14:textId="77777777">
        <w:trPr>
          <w:trHeight w:val="397"/>
          <w:jc w:val="center"/>
        </w:trPr>
        <w:tc>
          <w:tcPr>
            <w:tcW w:w="1384" w:type="dxa"/>
            <w:vAlign w:val="center"/>
          </w:tcPr>
          <w:p w14:paraId="768FD015" w14:textId="77777777" w:rsidR="00D26039" w:rsidRDefault="00B30650">
            <w:pPr>
              <w:autoSpaceDE w:val="0"/>
              <w:rPr>
                <w:bCs/>
                <w:szCs w:val="21"/>
              </w:rPr>
            </w:pPr>
            <w:r>
              <w:rPr>
                <w:rFonts w:hint="eastAsia"/>
                <w:bCs/>
                <w:szCs w:val="21"/>
              </w:rPr>
              <w:t>注册资本</w:t>
            </w:r>
          </w:p>
        </w:tc>
        <w:tc>
          <w:tcPr>
            <w:tcW w:w="7374" w:type="dxa"/>
            <w:vAlign w:val="center"/>
          </w:tcPr>
          <w:p w14:paraId="062EBE27" w14:textId="77777777" w:rsidR="00D26039" w:rsidRDefault="00B30650">
            <w:pPr>
              <w:adjustRightInd w:val="0"/>
              <w:jc w:val="left"/>
              <w:rPr>
                <w:rFonts w:ascii="宋体" w:hAnsi="宋体"/>
                <w:color w:val="000000"/>
                <w:kern w:val="0"/>
                <w:szCs w:val="21"/>
              </w:rPr>
            </w:pPr>
            <w:r>
              <w:rPr>
                <w:rFonts w:hint="eastAsia"/>
                <w:color w:val="000000"/>
                <w:kern w:val="0"/>
                <w:szCs w:val="21"/>
              </w:rPr>
              <w:t>56</w:t>
            </w:r>
            <w:r>
              <w:rPr>
                <w:rFonts w:ascii="宋体" w:hAnsi="宋体"/>
                <w:color w:val="000000"/>
                <w:kern w:val="0"/>
                <w:szCs w:val="21"/>
              </w:rPr>
              <w:t>,</w:t>
            </w:r>
            <w:r>
              <w:rPr>
                <w:rFonts w:hint="eastAsia"/>
                <w:color w:val="000000"/>
                <w:kern w:val="0"/>
                <w:szCs w:val="21"/>
              </w:rPr>
              <w:t>436</w:t>
            </w:r>
            <w:r>
              <w:rPr>
                <w:rFonts w:ascii="宋体" w:hAnsi="宋体" w:hint="eastAsia"/>
                <w:color w:val="000000"/>
                <w:kern w:val="0"/>
                <w:szCs w:val="21"/>
              </w:rPr>
              <w:t>.</w:t>
            </w:r>
            <w:r>
              <w:rPr>
                <w:rFonts w:hint="eastAsia"/>
                <w:color w:val="000000"/>
                <w:kern w:val="0"/>
                <w:szCs w:val="21"/>
              </w:rPr>
              <w:t>9565</w:t>
            </w:r>
            <w:r>
              <w:rPr>
                <w:rFonts w:ascii="宋体" w:hAnsi="宋体" w:hint="eastAsia"/>
                <w:color w:val="000000"/>
                <w:kern w:val="0"/>
                <w:szCs w:val="21"/>
              </w:rPr>
              <w:t>万元人民币</w:t>
            </w:r>
          </w:p>
        </w:tc>
      </w:tr>
      <w:tr w:rsidR="00D26039" w14:paraId="7B1576F4" w14:textId="77777777">
        <w:trPr>
          <w:trHeight w:val="397"/>
          <w:jc w:val="center"/>
        </w:trPr>
        <w:tc>
          <w:tcPr>
            <w:tcW w:w="1384" w:type="dxa"/>
            <w:vAlign w:val="center"/>
          </w:tcPr>
          <w:p w14:paraId="50383BB7" w14:textId="77777777" w:rsidR="00D26039" w:rsidRDefault="00B30650">
            <w:pPr>
              <w:autoSpaceDE w:val="0"/>
              <w:rPr>
                <w:bCs/>
                <w:szCs w:val="21"/>
              </w:rPr>
            </w:pPr>
            <w:r>
              <w:rPr>
                <w:bCs/>
                <w:szCs w:val="21"/>
              </w:rPr>
              <w:t>注册地址</w:t>
            </w:r>
          </w:p>
        </w:tc>
        <w:sdt>
          <w:sdtPr>
            <w:rPr>
              <w:szCs w:val="21"/>
            </w:rPr>
            <w:alias w:val="公司注册地址"/>
            <w:tag w:val="_GBC_176149bee7bf41819b29097eb854f331"/>
            <w:id w:val="26281647"/>
          </w:sdtPr>
          <w:sdtEndPr/>
          <w:sdtContent>
            <w:tc>
              <w:tcPr>
                <w:tcW w:w="7374" w:type="dxa"/>
                <w:vAlign w:val="center"/>
              </w:tcPr>
              <w:p w14:paraId="1857CB0D" w14:textId="77777777" w:rsidR="00D26039" w:rsidRDefault="00B30650">
                <w:pPr>
                  <w:autoSpaceDE w:val="0"/>
                  <w:rPr>
                    <w:rFonts w:ascii="宋体" w:hAnsi="宋体"/>
                    <w:szCs w:val="21"/>
                  </w:rPr>
                </w:pPr>
                <w:r>
                  <w:rPr>
                    <w:rFonts w:ascii="宋体" w:hAnsi="宋体"/>
                    <w:color w:val="000000"/>
                    <w:kern w:val="0"/>
                    <w:szCs w:val="21"/>
                  </w:rPr>
                  <w:t>安徽省铜陵市经济技术开发区翠湖三路</w:t>
                </w:r>
                <w:r>
                  <w:rPr>
                    <w:color w:val="000000"/>
                    <w:kern w:val="0"/>
                    <w:szCs w:val="21"/>
                  </w:rPr>
                  <w:t>399</w:t>
                </w:r>
                <w:r>
                  <w:rPr>
                    <w:rFonts w:ascii="宋体" w:hAnsi="宋体"/>
                    <w:color w:val="000000"/>
                    <w:kern w:val="0"/>
                    <w:szCs w:val="21"/>
                  </w:rPr>
                  <w:t>号</w:t>
                </w:r>
              </w:p>
            </w:tc>
          </w:sdtContent>
        </w:sdt>
      </w:tr>
      <w:tr w:rsidR="00D26039" w14:paraId="4F5A2D86" w14:textId="77777777">
        <w:trPr>
          <w:trHeight w:val="397"/>
          <w:jc w:val="center"/>
        </w:trPr>
        <w:tc>
          <w:tcPr>
            <w:tcW w:w="1384" w:type="dxa"/>
            <w:vAlign w:val="center"/>
          </w:tcPr>
          <w:p w14:paraId="0181688E" w14:textId="77777777" w:rsidR="00D26039" w:rsidRDefault="00B30650">
            <w:pPr>
              <w:autoSpaceDE w:val="0"/>
              <w:rPr>
                <w:bCs/>
                <w:szCs w:val="21"/>
              </w:rPr>
            </w:pPr>
            <w:r>
              <w:rPr>
                <w:bCs/>
                <w:szCs w:val="21"/>
              </w:rPr>
              <w:t>法定代表人</w:t>
            </w:r>
          </w:p>
        </w:tc>
        <w:sdt>
          <w:sdtPr>
            <w:rPr>
              <w:rFonts w:ascii="宋体" w:hAnsi="宋体" w:hint="eastAsia"/>
              <w:szCs w:val="21"/>
            </w:rPr>
            <w:alias w:val="公司法定代表人"/>
            <w:tag w:val="_GBC_71327a0d8afa49e1aba9d42a68663413"/>
            <w:id w:val="26281637"/>
            <w:text/>
          </w:sdtPr>
          <w:sdtEndPr/>
          <w:sdtContent>
            <w:tc>
              <w:tcPr>
                <w:tcW w:w="7374" w:type="dxa"/>
                <w:vAlign w:val="center"/>
              </w:tcPr>
              <w:p w14:paraId="5C94B114" w14:textId="77777777" w:rsidR="00D26039" w:rsidRDefault="00B30650">
                <w:pPr>
                  <w:autoSpaceDE w:val="0"/>
                  <w:rPr>
                    <w:rFonts w:ascii="宋体" w:hAnsi="宋体"/>
                    <w:szCs w:val="21"/>
                  </w:rPr>
                </w:pPr>
                <w:r>
                  <w:rPr>
                    <w:rFonts w:ascii="宋体" w:hAnsi="宋体" w:hint="eastAsia"/>
                    <w:szCs w:val="21"/>
                  </w:rPr>
                  <w:t>黄明强</w:t>
                </w:r>
              </w:p>
            </w:tc>
          </w:sdtContent>
        </w:sdt>
      </w:tr>
      <w:tr w:rsidR="00D26039" w14:paraId="2B8E5F79" w14:textId="77777777">
        <w:trPr>
          <w:trHeight w:val="397"/>
          <w:jc w:val="center"/>
        </w:trPr>
        <w:tc>
          <w:tcPr>
            <w:tcW w:w="1384" w:type="dxa"/>
            <w:vAlign w:val="center"/>
          </w:tcPr>
          <w:p w14:paraId="51914A24" w14:textId="77777777" w:rsidR="00D26039" w:rsidRDefault="00B30650">
            <w:pPr>
              <w:autoSpaceDE w:val="0"/>
              <w:rPr>
                <w:bCs/>
                <w:szCs w:val="21"/>
              </w:rPr>
            </w:pPr>
            <w:r>
              <w:rPr>
                <w:bCs/>
                <w:szCs w:val="21"/>
              </w:rPr>
              <w:t>上市地点</w:t>
            </w:r>
          </w:p>
        </w:tc>
        <w:tc>
          <w:tcPr>
            <w:tcW w:w="7374" w:type="dxa"/>
            <w:vAlign w:val="center"/>
          </w:tcPr>
          <w:p w14:paraId="4DD62676" w14:textId="77777777" w:rsidR="00D26039" w:rsidRDefault="00B30650">
            <w:pPr>
              <w:autoSpaceDE w:val="0"/>
              <w:rPr>
                <w:rFonts w:ascii="宋体" w:hAnsi="宋体"/>
                <w:szCs w:val="21"/>
              </w:rPr>
            </w:pPr>
            <w:r>
              <w:rPr>
                <w:rFonts w:ascii="宋体" w:hAnsi="宋体" w:hint="eastAsia"/>
                <w:szCs w:val="21"/>
              </w:rPr>
              <w:t>上海证券交易所</w:t>
            </w:r>
          </w:p>
        </w:tc>
      </w:tr>
      <w:tr w:rsidR="00D26039" w14:paraId="58C1FCDC" w14:textId="77777777">
        <w:trPr>
          <w:trHeight w:val="397"/>
          <w:jc w:val="center"/>
        </w:trPr>
        <w:tc>
          <w:tcPr>
            <w:tcW w:w="1384" w:type="dxa"/>
            <w:vAlign w:val="center"/>
          </w:tcPr>
          <w:p w14:paraId="0FF1804C" w14:textId="77777777" w:rsidR="00D26039" w:rsidRDefault="00B30650">
            <w:pPr>
              <w:autoSpaceDE w:val="0"/>
              <w:rPr>
                <w:rFonts w:ascii="宋体" w:hAnsi="宋体"/>
                <w:bCs/>
                <w:szCs w:val="21"/>
              </w:rPr>
            </w:pPr>
            <w:r>
              <w:rPr>
                <w:rFonts w:ascii="宋体" w:hAnsi="宋体"/>
                <w:bCs/>
                <w:szCs w:val="21"/>
              </w:rPr>
              <w:t>股票简称</w:t>
            </w:r>
          </w:p>
        </w:tc>
        <w:tc>
          <w:tcPr>
            <w:tcW w:w="7374" w:type="dxa"/>
            <w:vAlign w:val="center"/>
          </w:tcPr>
          <w:p w14:paraId="3ED3A732" w14:textId="77777777" w:rsidR="00D26039" w:rsidRDefault="00B30650">
            <w:pPr>
              <w:autoSpaceDE w:val="0"/>
              <w:rPr>
                <w:rFonts w:ascii="宋体" w:hAnsi="宋体"/>
                <w:szCs w:val="21"/>
              </w:rPr>
            </w:pPr>
            <w:r>
              <w:rPr>
                <w:rFonts w:ascii="宋体" w:hAnsi="宋体" w:hint="eastAsia"/>
                <w:szCs w:val="21"/>
              </w:rPr>
              <w:t>铜峰电子</w:t>
            </w:r>
          </w:p>
        </w:tc>
      </w:tr>
      <w:tr w:rsidR="00D26039" w14:paraId="1BB161FF" w14:textId="77777777">
        <w:trPr>
          <w:trHeight w:val="397"/>
          <w:jc w:val="center"/>
        </w:trPr>
        <w:tc>
          <w:tcPr>
            <w:tcW w:w="1384" w:type="dxa"/>
            <w:vAlign w:val="center"/>
          </w:tcPr>
          <w:p w14:paraId="250E59A4" w14:textId="77777777" w:rsidR="00D26039" w:rsidRDefault="00B30650">
            <w:pPr>
              <w:autoSpaceDE w:val="0"/>
              <w:rPr>
                <w:bCs/>
                <w:szCs w:val="21"/>
              </w:rPr>
            </w:pPr>
            <w:r>
              <w:rPr>
                <w:bCs/>
                <w:szCs w:val="21"/>
              </w:rPr>
              <w:t>股票代码</w:t>
            </w:r>
          </w:p>
        </w:tc>
        <w:tc>
          <w:tcPr>
            <w:tcW w:w="7374" w:type="dxa"/>
            <w:vAlign w:val="center"/>
          </w:tcPr>
          <w:p w14:paraId="3291BAA0" w14:textId="77777777" w:rsidR="00D26039" w:rsidRDefault="00B30650">
            <w:pPr>
              <w:autoSpaceDE w:val="0"/>
              <w:rPr>
                <w:rFonts w:ascii="宋体" w:hAnsi="宋体"/>
                <w:szCs w:val="21"/>
              </w:rPr>
            </w:pPr>
            <w:r>
              <w:rPr>
                <w:szCs w:val="21"/>
              </w:rPr>
              <w:t>600237</w:t>
            </w:r>
          </w:p>
        </w:tc>
      </w:tr>
      <w:tr w:rsidR="00D26039" w14:paraId="681596AD" w14:textId="77777777">
        <w:trPr>
          <w:trHeight w:val="397"/>
          <w:jc w:val="center"/>
        </w:trPr>
        <w:tc>
          <w:tcPr>
            <w:tcW w:w="1384" w:type="dxa"/>
            <w:vAlign w:val="center"/>
          </w:tcPr>
          <w:p w14:paraId="7F092D41" w14:textId="77777777" w:rsidR="00D26039" w:rsidRDefault="00B30650">
            <w:pPr>
              <w:autoSpaceDE w:val="0"/>
              <w:rPr>
                <w:bCs/>
                <w:szCs w:val="21"/>
              </w:rPr>
            </w:pPr>
            <w:r>
              <w:rPr>
                <w:bCs/>
                <w:szCs w:val="21"/>
              </w:rPr>
              <w:t>统一社会信用代码</w:t>
            </w:r>
          </w:p>
        </w:tc>
        <w:tc>
          <w:tcPr>
            <w:tcW w:w="7374" w:type="dxa"/>
            <w:vAlign w:val="center"/>
          </w:tcPr>
          <w:p w14:paraId="1E1A0A9B" w14:textId="77777777" w:rsidR="00D26039" w:rsidRDefault="00B30650">
            <w:pPr>
              <w:autoSpaceDE w:val="0"/>
              <w:rPr>
                <w:rFonts w:ascii="宋体" w:hAnsi="宋体"/>
                <w:szCs w:val="21"/>
              </w:rPr>
            </w:pPr>
            <w:r>
              <w:rPr>
                <w:szCs w:val="21"/>
              </w:rPr>
              <w:t>9134070014897301XF</w:t>
            </w:r>
          </w:p>
        </w:tc>
      </w:tr>
      <w:tr w:rsidR="00D26039" w14:paraId="5505E52E" w14:textId="77777777">
        <w:trPr>
          <w:trHeight w:val="397"/>
          <w:jc w:val="center"/>
        </w:trPr>
        <w:tc>
          <w:tcPr>
            <w:tcW w:w="1384" w:type="dxa"/>
            <w:vAlign w:val="center"/>
          </w:tcPr>
          <w:p w14:paraId="1F4257CC" w14:textId="77777777" w:rsidR="00D26039" w:rsidRDefault="00B30650">
            <w:pPr>
              <w:autoSpaceDE w:val="0"/>
              <w:rPr>
                <w:bCs/>
                <w:szCs w:val="21"/>
              </w:rPr>
            </w:pPr>
            <w:r>
              <w:rPr>
                <w:bCs/>
                <w:szCs w:val="21"/>
              </w:rPr>
              <w:t>电话</w:t>
            </w:r>
          </w:p>
        </w:tc>
        <w:tc>
          <w:tcPr>
            <w:tcW w:w="7374" w:type="dxa"/>
            <w:vAlign w:val="center"/>
          </w:tcPr>
          <w:p w14:paraId="4F2EE4A1" w14:textId="77777777" w:rsidR="00D26039" w:rsidRDefault="00B30650">
            <w:pPr>
              <w:autoSpaceDE w:val="0"/>
              <w:adjustRightInd w:val="0"/>
              <w:rPr>
                <w:rFonts w:ascii="宋体" w:hAnsi="宋体"/>
                <w:color w:val="000000"/>
                <w:kern w:val="0"/>
                <w:szCs w:val="21"/>
              </w:rPr>
            </w:pPr>
            <w:r>
              <w:rPr>
                <w:rFonts w:cs="宋体"/>
                <w:color w:val="000000"/>
                <w:kern w:val="0"/>
                <w:szCs w:val="21"/>
              </w:rPr>
              <w:t>0562</w:t>
            </w:r>
            <w:r>
              <w:rPr>
                <w:rFonts w:ascii="宋体" w:cs="宋体"/>
                <w:color w:val="000000"/>
                <w:kern w:val="0"/>
                <w:szCs w:val="21"/>
              </w:rPr>
              <w:t>-</w:t>
            </w:r>
            <w:r>
              <w:rPr>
                <w:rFonts w:cs="宋体"/>
                <w:color w:val="000000"/>
                <w:kern w:val="0"/>
                <w:szCs w:val="21"/>
              </w:rPr>
              <w:t>2819178</w:t>
            </w:r>
          </w:p>
        </w:tc>
      </w:tr>
      <w:tr w:rsidR="00D26039" w14:paraId="75A37115" w14:textId="77777777">
        <w:trPr>
          <w:trHeight w:val="397"/>
          <w:jc w:val="center"/>
        </w:trPr>
        <w:tc>
          <w:tcPr>
            <w:tcW w:w="1384" w:type="dxa"/>
            <w:vAlign w:val="center"/>
          </w:tcPr>
          <w:p w14:paraId="5E35F6BE" w14:textId="77777777" w:rsidR="00D26039" w:rsidRDefault="00B30650">
            <w:pPr>
              <w:autoSpaceDE w:val="0"/>
              <w:rPr>
                <w:bCs/>
                <w:szCs w:val="21"/>
              </w:rPr>
            </w:pPr>
            <w:r>
              <w:rPr>
                <w:bCs/>
                <w:szCs w:val="21"/>
              </w:rPr>
              <w:t>传真</w:t>
            </w:r>
          </w:p>
        </w:tc>
        <w:tc>
          <w:tcPr>
            <w:tcW w:w="7374" w:type="dxa"/>
            <w:vAlign w:val="center"/>
          </w:tcPr>
          <w:p w14:paraId="5747B97A" w14:textId="77777777" w:rsidR="00D26039" w:rsidRDefault="00B30650">
            <w:pPr>
              <w:autoSpaceDE w:val="0"/>
              <w:adjustRightInd w:val="0"/>
              <w:rPr>
                <w:rFonts w:ascii="宋体" w:hAnsi="宋体"/>
                <w:color w:val="000000"/>
                <w:kern w:val="0"/>
                <w:szCs w:val="21"/>
              </w:rPr>
            </w:pPr>
            <w:r>
              <w:rPr>
                <w:rFonts w:cs="宋体"/>
                <w:color w:val="000000"/>
                <w:kern w:val="0"/>
                <w:szCs w:val="21"/>
              </w:rPr>
              <w:t>0562</w:t>
            </w:r>
            <w:r>
              <w:rPr>
                <w:rFonts w:ascii="宋体" w:cs="宋体"/>
                <w:color w:val="000000"/>
                <w:kern w:val="0"/>
                <w:szCs w:val="21"/>
              </w:rPr>
              <w:t>-</w:t>
            </w:r>
            <w:r>
              <w:rPr>
                <w:rFonts w:cs="宋体"/>
                <w:color w:val="000000"/>
                <w:kern w:val="0"/>
                <w:szCs w:val="21"/>
              </w:rPr>
              <w:t>5881888</w:t>
            </w:r>
          </w:p>
        </w:tc>
      </w:tr>
      <w:tr w:rsidR="00D26039" w14:paraId="76655D8E" w14:textId="77777777">
        <w:trPr>
          <w:trHeight w:val="397"/>
          <w:jc w:val="center"/>
        </w:trPr>
        <w:tc>
          <w:tcPr>
            <w:tcW w:w="1384" w:type="dxa"/>
            <w:vAlign w:val="center"/>
          </w:tcPr>
          <w:p w14:paraId="1A3624D2" w14:textId="77777777" w:rsidR="00D26039" w:rsidRDefault="00B30650">
            <w:pPr>
              <w:autoSpaceDE w:val="0"/>
              <w:rPr>
                <w:bCs/>
                <w:szCs w:val="21"/>
              </w:rPr>
            </w:pPr>
            <w:r>
              <w:rPr>
                <w:bCs/>
                <w:szCs w:val="21"/>
              </w:rPr>
              <w:t>公司网址</w:t>
            </w:r>
          </w:p>
        </w:tc>
        <w:sdt>
          <w:sdtPr>
            <w:rPr>
              <w:rFonts w:ascii="宋体" w:cs="宋体" w:hint="eastAsia"/>
              <w:color w:val="000000"/>
              <w:kern w:val="0"/>
              <w:szCs w:val="21"/>
            </w:rPr>
            <w:alias w:val="公司国际互联网网址"/>
            <w:tag w:val="_GBC_7230b5ca49734fc2ad410245ff685045"/>
            <w:id w:val="26281655"/>
          </w:sdtPr>
          <w:sdtEndPr/>
          <w:sdtContent>
            <w:tc>
              <w:tcPr>
                <w:tcW w:w="7374" w:type="dxa"/>
                <w:vAlign w:val="center"/>
              </w:tcPr>
              <w:p w14:paraId="2A2F5F3D" w14:textId="77777777" w:rsidR="00D26039" w:rsidRDefault="00B30650">
                <w:pPr>
                  <w:autoSpaceDE w:val="0"/>
                  <w:adjustRightInd w:val="0"/>
                  <w:rPr>
                    <w:rFonts w:ascii="宋体" w:hAnsi="宋体"/>
                    <w:color w:val="000000"/>
                    <w:kern w:val="0"/>
                    <w:szCs w:val="21"/>
                  </w:rPr>
                </w:pPr>
                <w:r>
                  <w:rPr>
                    <w:rFonts w:cs="宋体" w:hint="eastAsia"/>
                    <w:color w:val="000000"/>
                    <w:kern w:val="0"/>
                    <w:szCs w:val="21"/>
                  </w:rPr>
                  <w:t>http</w:t>
                </w:r>
                <w:r>
                  <w:rPr>
                    <w:rFonts w:ascii="宋体" w:cs="宋体" w:hint="eastAsia"/>
                    <w:color w:val="000000"/>
                    <w:kern w:val="0"/>
                    <w:szCs w:val="21"/>
                  </w:rPr>
                  <w:t>://</w:t>
                </w:r>
                <w:r>
                  <w:rPr>
                    <w:rFonts w:cs="宋体" w:hint="eastAsia"/>
                    <w:color w:val="000000"/>
                    <w:kern w:val="0"/>
                    <w:szCs w:val="21"/>
                  </w:rPr>
                  <w:t>www</w:t>
                </w:r>
                <w:r>
                  <w:rPr>
                    <w:rFonts w:ascii="宋体" w:cs="宋体" w:hint="eastAsia"/>
                    <w:color w:val="000000"/>
                    <w:kern w:val="0"/>
                    <w:szCs w:val="21"/>
                  </w:rPr>
                  <w:t>.</w:t>
                </w:r>
                <w:r>
                  <w:rPr>
                    <w:rFonts w:cs="宋体" w:hint="eastAsia"/>
                    <w:color w:val="000000"/>
                    <w:kern w:val="0"/>
                    <w:szCs w:val="21"/>
                  </w:rPr>
                  <w:t>tong</w:t>
                </w:r>
                <w:r>
                  <w:rPr>
                    <w:rFonts w:ascii="宋体" w:cs="宋体" w:hint="eastAsia"/>
                    <w:color w:val="000000"/>
                    <w:kern w:val="0"/>
                    <w:szCs w:val="21"/>
                  </w:rPr>
                  <w:t>-</w:t>
                </w:r>
                <w:r>
                  <w:rPr>
                    <w:rFonts w:cs="宋体" w:hint="eastAsia"/>
                    <w:color w:val="000000"/>
                    <w:kern w:val="0"/>
                    <w:szCs w:val="21"/>
                  </w:rPr>
                  <w:t>feng</w:t>
                </w:r>
                <w:r>
                  <w:rPr>
                    <w:rFonts w:ascii="宋体" w:cs="宋体" w:hint="eastAsia"/>
                    <w:color w:val="000000"/>
                    <w:kern w:val="0"/>
                    <w:szCs w:val="21"/>
                  </w:rPr>
                  <w:t>.</w:t>
                </w:r>
                <w:r>
                  <w:rPr>
                    <w:rFonts w:cs="宋体" w:hint="eastAsia"/>
                    <w:color w:val="000000"/>
                    <w:kern w:val="0"/>
                    <w:szCs w:val="21"/>
                  </w:rPr>
                  <w:t>com</w:t>
                </w:r>
              </w:p>
            </w:tc>
          </w:sdtContent>
        </w:sdt>
      </w:tr>
      <w:tr w:rsidR="00D26039" w14:paraId="2DF37090" w14:textId="77777777">
        <w:trPr>
          <w:trHeight w:val="397"/>
          <w:jc w:val="center"/>
        </w:trPr>
        <w:tc>
          <w:tcPr>
            <w:tcW w:w="1384" w:type="dxa"/>
            <w:vAlign w:val="center"/>
          </w:tcPr>
          <w:p w14:paraId="29C30BD8" w14:textId="77777777" w:rsidR="00D26039" w:rsidRDefault="00B30650">
            <w:pPr>
              <w:autoSpaceDE w:val="0"/>
              <w:rPr>
                <w:bCs/>
                <w:szCs w:val="21"/>
              </w:rPr>
            </w:pPr>
            <w:r>
              <w:rPr>
                <w:bCs/>
                <w:szCs w:val="21"/>
              </w:rPr>
              <w:t>经营范围</w:t>
            </w:r>
          </w:p>
        </w:tc>
        <w:tc>
          <w:tcPr>
            <w:tcW w:w="7374" w:type="dxa"/>
            <w:vAlign w:val="center"/>
          </w:tcPr>
          <w:p w14:paraId="3AAA2FAA" w14:textId="77777777" w:rsidR="00D26039" w:rsidRDefault="00B30650">
            <w:pPr>
              <w:autoSpaceDE w:val="0"/>
              <w:rPr>
                <w:szCs w:val="21"/>
              </w:rPr>
            </w:pPr>
            <w:r>
              <w:rPr>
                <w:rFonts w:ascii="宋体" w:hAnsi="宋体" w:hint="eastAsia"/>
                <w:szCs w:val="21"/>
              </w:rPr>
              <w:t>电工薄膜、金属化膜、电容器、聚丙烯再生粒子、电力节能装置、电子材料、元器件的生产、研究、开发、销售及科技成果转让，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w:t>
            </w:r>
            <w:r>
              <w:rPr>
                <w:rFonts w:hint="eastAsia"/>
                <w:szCs w:val="21"/>
              </w:rPr>
              <w:t>LED</w:t>
            </w:r>
            <w:r>
              <w:rPr>
                <w:rFonts w:ascii="宋体" w:hAnsi="宋体" w:hint="eastAsia"/>
                <w:szCs w:val="21"/>
              </w:rPr>
              <w:t>用封装支架生产、销售，</w:t>
            </w:r>
            <w:r>
              <w:rPr>
                <w:rFonts w:hint="eastAsia"/>
                <w:szCs w:val="21"/>
              </w:rPr>
              <w:t>LED</w:t>
            </w:r>
            <w:r>
              <w:rPr>
                <w:rFonts w:ascii="宋体" w:hAnsi="宋体" w:hint="eastAsia"/>
                <w:szCs w:val="21"/>
              </w:rPr>
              <w:t>用封装支架材料销售，自营和代理各类商品和技术的进出口业务（国家限定企业经营或禁止进出口的商品和技术除外）。（依法须经批准的项目，经相关部门批准后方可开展经营活动）</w:t>
            </w:r>
          </w:p>
        </w:tc>
      </w:tr>
    </w:tbl>
    <w:p w14:paraId="6F321C0D" w14:textId="77777777" w:rsidR="00D26039" w:rsidRDefault="00B30650">
      <w:pPr>
        <w:keepNext/>
        <w:keepLines/>
        <w:autoSpaceDE w:val="0"/>
        <w:spacing w:beforeLines="50" w:before="156" w:afterLines="50" w:after="156" w:line="360" w:lineRule="auto"/>
        <w:outlineLvl w:val="1"/>
        <w:rPr>
          <w:rFonts w:eastAsia="黑体"/>
          <w:b/>
          <w:bCs/>
          <w:kern w:val="0"/>
          <w:sz w:val="28"/>
          <w:szCs w:val="32"/>
        </w:rPr>
      </w:pPr>
      <w:bookmarkStart w:id="23" w:name="_Toc512526892"/>
      <w:bookmarkStart w:id="24" w:name="_Toc111905396"/>
      <w:r>
        <w:rPr>
          <w:rFonts w:eastAsia="黑体"/>
          <w:b/>
          <w:bCs/>
          <w:kern w:val="0"/>
          <w:sz w:val="28"/>
          <w:szCs w:val="32"/>
        </w:rPr>
        <w:t>二、本次非公开发行</w:t>
      </w:r>
      <w:r>
        <w:rPr>
          <w:rFonts w:eastAsia="黑体" w:hint="eastAsia"/>
          <w:b/>
          <w:bCs/>
          <w:kern w:val="0"/>
          <w:sz w:val="28"/>
          <w:szCs w:val="32"/>
        </w:rPr>
        <w:t>股票</w:t>
      </w:r>
      <w:r>
        <w:rPr>
          <w:rFonts w:eastAsia="黑体"/>
          <w:b/>
          <w:bCs/>
          <w:kern w:val="0"/>
          <w:sz w:val="28"/>
          <w:szCs w:val="32"/>
        </w:rPr>
        <w:t>的背景和目的</w:t>
      </w:r>
      <w:bookmarkEnd w:id="23"/>
      <w:bookmarkEnd w:id="24"/>
    </w:p>
    <w:p w14:paraId="706B1375"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（一）本次非公开发行</w:t>
      </w:r>
      <w:r>
        <w:rPr>
          <w:rFonts w:eastAsia="黑体" w:hint="eastAsia"/>
          <w:b/>
          <w:bCs/>
          <w:kern w:val="0"/>
          <w:sz w:val="24"/>
        </w:rPr>
        <w:t>股票</w:t>
      </w:r>
      <w:r>
        <w:rPr>
          <w:rFonts w:eastAsia="黑体"/>
          <w:b/>
          <w:bCs/>
          <w:kern w:val="0"/>
          <w:sz w:val="24"/>
        </w:rPr>
        <w:t>的背景</w:t>
      </w:r>
    </w:p>
    <w:p w14:paraId="5B2D08B2" w14:textId="55A64379" w:rsidR="00C0707D" w:rsidRDefault="00AF783B">
      <w:pPr>
        <w:spacing w:beforeLines="50" w:before="156" w:afterLines="50" w:after="156" w:line="360" w:lineRule="auto"/>
        <w:ind w:firstLineChars="200" w:firstLine="480"/>
        <w:rPr>
          <w:sz w:val="24"/>
        </w:rPr>
      </w:pPr>
      <w:r w:rsidRPr="00AF783B">
        <w:rPr>
          <w:rFonts w:hint="eastAsia"/>
          <w:sz w:val="24"/>
        </w:rPr>
        <w:t>公司长期从事薄膜电容器及其薄膜材料等产品的研发、生产制造与销售，掌握了薄膜电容器及其薄膜材料的核心生产技术</w:t>
      </w:r>
      <w:r>
        <w:rPr>
          <w:rFonts w:hint="eastAsia"/>
          <w:sz w:val="24"/>
        </w:rPr>
        <w:t>，公司</w:t>
      </w:r>
      <w:r w:rsidR="003902DC" w:rsidRPr="003902DC">
        <w:rPr>
          <w:rFonts w:hint="eastAsia"/>
          <w:sz w:val="24"/>
        </w:rPr>
        <w:t>产品广泛应用于家电、通讯、电网、轨道交通、工业控制和新能源（光伏、风能、汽车）等多个行业。</w:t>
      </w:r>
      <w:r w:rsidR="003902DC">
        <w:rPr>
          <w:sz w:val="24"/>
        </w:rPr>
        <w:t>本次非公开发行募集资金</w:t>
      </w:r>
      <w:r w:rsidR="003902DC">
        <w:rPr>
          <w:rFonts w:hint="eastAsia"/>
          <w:sz w:val="24"/>
        </w:rPr>
        <w:t>投资项目</w:t>
      </w:r>
      <w:r w:rsidR="000B0509">
        <w:rPr>
          <w:rFonts w:hint="eastAsia"/>
          <w:sz w:val="24"/>
        </w:rPr>
        <w:t>系</w:t>
      </w:r>
      <w:r w:rsidR="000B0509" w:rsidRPr="00C0707D">
        <w:rPr>
          <w:rFonts w:hint="eastAsia"/>
          <w:sz w:val="24"/>
        </w:rPr>
        <w:t>围绕公司主营业务开展</w:t>
      </w:r>
      <w:r w:rsidR="000B0509">
        <w:rPr>
          <w:rFonts w:hint="eastAsia"/>
          <w:sz w:val="24"/>
        </w:rPr>
        <w:t>，</w:t>
      </w:r>
      <w:r w:rsidR="00C0707D">
        <w:rPr>
          <w:rFonts w:hint="eastAsia"/>
          <w:sz w:val="24"/>
        </w:rPr>
        <w:t>拟用于</w:t>
      </w:r>
      <w:r w:rsidR="00C0707D" w:rsidRPr="00C0707D">
        <w:rPr>
          <w:rFonts w:hint="eastAsia"/>
          <w:sz w:val="24"/>
        </w:rPr>
        <w:t>新能源用超薄型薄膜材料</w:t>
      </w:r>
      <w:r w:rsidR="00C0707D">
        <w:rPr>
          <w:rFonts w:hint="eastAsia"/>
          <w:sz w:val="24"/>
        </w:rPr>
        <w:t>项目和补充流动资金项目，</w:t>
      </w:r>
      <w:r w:rsidR="000B0509">
        <w:rPr>
          <w:rFonts w:hint="eastAsia"/>
          <w:sz w:val="24"/>
        </w:rPr>
        <w:t>项目开展的</w:t>
      </w:r>
      <w:r w:rsidR="000B0509" w:rsidRPr="000B0509">
        <w:rPr>
          <w:rFonts w:hint="eastAsia"/>
          <w:sz w:val="24"/>
        </w:rPr>
        <w:t>主要背景如下：</w:t>
      </w:r>
    </w:p>
    <w:p w14:paraId="786B8F88" w14:textId="77777777" w:rsidR="00AF783B" w:rsidRDefault="00AF783B" w:rsidP="00AF783B">
      <w:pPr>
        <w:spacing w:beforeLines="50" w:before="156" w:afterLines="50" w:after="156" w:line="360" w:lineRule="auto"/>
        <w:ind w:firstLineChars="200" w:firstLine="482"/>
        <w:rPr>
          <w:rFonts w:ascii="宋体" w:hAnsi="宋体"/>
          <w:b/>
          <w:bCs/>
          <w:kern w:val="0"/>
          <w:sz w:val="24"/>
        </w:rPr>
      </w:pPr>
      <w:r>
        <w:rPr>
          <w:rFonts w:hint="eastAsia"/>
          <w:b/>
          <w:bCs/>
          <w:kern w:val="0"/>
          <w:sz w:val="24"/>
        </w:rPr>
        <w:t>1</w:t>
      </w:r>
      <w:r>
        <w:rPr>
          <w:rFonts w:ascii="宋体" w:hAnsi="宋体" w:hint="eastAsia"/>
          <w:b/>
          <w:bCs/>
          <w:kern w:val="0"/>
          <w:sz w:val="24"/>
        </w:rPr>
        <w:t>、</w:t>
      </w:r>
      <w:r>
        <w:rPr>
          <w:rFonts w:ascii="宋体" w:hAnsi="宋体"/>
          <w:b/>
          <w:bCs/>
          <w:kern w:val="0"/>
          <w:sz w:val="24"/>
        </w:rPr>
        <w:t>国家产业政策支持</w:t>
      </w:r>
      <w:r>
        <w:rPr>
          <w:rFonts w:ascii="宋体" w:hAnsi="宋体" w:hint="eastAsia"/>
          <w:b/>
          <w:bCs/>
          <w:kern w:val="0"/>
          <w:sz w:val="24"/>
        </w:rPr>
        <w:t>，公司所处行业面临良好的发展机遇</w:t>
      </w:r>
    </w:p>
    <w:p w14:paraId="7B88447F" w14:textId="401DD919" w:rsidR="00D26039" w:rsidRDefault="00B30650">
      <w:pPr>
        <w:spacing w:beforeLines="50" w:before="156" w:afterLines="50" w:after="156" w:line="360" w:lineRule="auto"/>
        <w:ind w:firstLineChars="200" w:firstLine="480"/>
        <w:rPr>
          <w:sz w:val="24"/>
        </w:rPr>
      </w:pPr>
      <w:r>
        <w:rPr>
          <w:rFonts w:hint="eastAsia"/>
          <w:sz w:val="24"/>
        </w:rPr>
        <w:lastRenderedPageBreak/>
        <w:t>2</w:t>
      </w:r>
      <w:r>
        <w:rPr>
          <w:sz w:val="24"/>
        </w:rPr>
        <w:t>019</w:t>
      </w:r>
      <w:r>
        <w:rPr>
          <w:rFonts w:hint="eastAsia"/>
          <w:sz w:val="24"/>
        </w:rPr>
        <w:t>年</w:t>
      </w:r>
      <w:r>
        <w:rPr>
          <w:rFonts w:hint="eastAsia"/>
          <w:sz w:val="24"/>
        </w:rPr>
        <w:t>1</w:t>
      </w:r>
      <w:r>
        <w:rPr>
          <w:sz w:val="24"/>
        </w:rPr>
        <w:t>0</w:t>
      </w:r>
      <w:r>
        <w:rPr>
          <w:rFonts w:hint="eastAsia"/>
          <w:sz w:val="24"/>
        </w:rPr>
        <w:t>月，国家发展</w:t>
      </w:r>
      <w:r w:rsidR="00EC2FA6">
        <w:rPr>
          <w:rFonts w:hint="eastAsia"/>
          <w:sz w:val="24"/>
        </w:rPr>
        <w:t>和</w:t>
      </w:r>
      <w:r>
        <w:rPr>
          <w:rFonts w:hint="eastAsia"/>
          <w:sz w:val="24"/>
        </w:rPr>
        <w:t>改革委员会发布</w:t>
      </w:r>
      <w:r>
        <w:rPr>
          <w:sz w:val="24"/>
        </w:rPr>
        <w:t>《产业结构调整指导目录（</w:t>
      </w:r>
      <w:r>
        <w:rPr>
          <w:sz w:val="24"/>
        </w:rPr>
        <w:t>2019</w:t>
      </w:r>
      <w:r>
        <w:rPr>
          <w:sz w:val="24"/>
        </w:rPr>
        <w:t>年本）》</w:t>
      </w:r>
      <w:r>
        <w:rPr>
          <w:rFonts w:hint="eastAsia"/>
          <w:sz w:val="24"/>
        </w:rPr>
        <w:t>，</w:t>
      </w:r>
      <w:r>
        <w:rPr>
          <w:sz w:val="24"/>
        </w:rPr>
        <w:t>本次</w:t>
      </w:r>
      <w:proofErr w:type="gramStart"/>
      <w:r w:rsidR="000B0509">
        <w:rPr>
          <w:rFonts w:hint="eastAsia"/>
          <w:sz w:val="24"/>
        </w:rPr>
        <w:t>募投</w:t>
      </w:r>
      <w:r>
        <w:rPr>
          <w:rFonts w:hint="eastAsia"/>
          <w:sz w:val="24"/>
        </w:rPr>
        <w:t>项目</w:t>
      </w:r>
      <w:proofErr w:type="gramEnd"/>
      <w:r>
        <w:rPr>
          <w:rFonts w:hint="eastAsia"/>
          <w:sz w:val="24"/>
        </w:rPr>
        <w:t>生产的新能源用超薄型薄膜材料，主要应用于新能源汽车、风电、</w:t>
      </w:r>
      <w:proofErr w:type="gramStart"/>
      <w:r>
        <w:rPr>
          <w:rFonts w:hint="eastAsia"/>
          <w:sz w:val="24"/>
        </w:rPr>
        <w:t>光伏等</w:t>
      </w:r>
      <w:r w:rsidRPr="005D006A">
        <w:rPr>
          <w:sz w:val="24"/>
        </w:rPr>
        <w:t>新能源</w:t>
      </w:r>
      <w:proofErr w:type="gramEnd"/>
      <w:r w:rsidRPr="005D006A">
        <w:rPr>
          <w:rFonts w:hint="eastAsia"/>
          <w:sz w:val="24"/>
        </w:rPr>
        <w:t>用</w:t>
      </w:r>
      <w:r w:rsidRPr="005D006A">
        <w:rPr>
          <w:sz w:val="24"/>
        </w:rPr>
        <w:t>电容器</w:t>
      </w:r>
      <w:r w:rsidRPr="005D006A">
        <w:rPr>
          <w:rFonts w:hint="eastAsia"/>
          <w:sz w:val="24"/>
        </w:rPr>
        <w:t>领域，</w:t>
      </w:r>
      <w:r>
        <w:rPr>
          <w:sz w:val="24"/>
        </w:rPr>
        <w:t>属于《产业结构调整指导目录（</w:t>
      </w:r>
      <w:r>
        <w:rPr>
          <w:sz w:val="24"/>
        </w:rPr>
        <w:t>2019</w:t>
      </w:r>
      <w:r>
        <w:rPr>
          <w:sz w:val="24"/>
        </w:rPr>
        <w:t>年本）》中</w:t>
      </w:r>
      <w:r w:rsidR="00520112">
        <w:rPr>
          <w:rFonts w:hint="eastAsia"/>
          <w:sz w:val="24"/>
        </w:rPr>
        <w:t>“</w:t>
      </w:r>
      <w:r>
        <w:rPr>
          <w:rFonts w:hint="eastAsia"/>
          <w:sz w:val="24"/>
        </w:rPr>
        <w:t>第一类</w:t>
      </w:r>
      <w:r>
        <w:rPr>
          <w:rFonts w:hint="eastAsia"/>
          <w:sz w:val="24"/>
        </w:rPr>
        <w:t xml:space="preserve"> </w:t>
      </w:r>
      <w:r>
        <w:rPr>
          <w:sz w:val="24"/>
        </w:rPr>
        <w:t>鼓励类</w:t>
      </w:r>
      <w:r w:rsidR="00520112">
        <w:rPr>
          <w:rFonts w:hint="eastAsia"/>
          <w:sz w:val="24"/>
        </w:rPr>
        <w:t>”</w:t>
      </w:r>
      <w:r>
        <w:rPr>
          <w:rFonts w:hint="eastAsia"/>
          <w:sz w:val="24"/>
        </w:rPr>
        <w:t>之</w:t>
      </w:r>
      <w:r w:rsidR="00520112">
        <w:rPr>
          <w:rFonts w:hint="eastAsia"/>
          <w:sz w:val="24"/>
        </w:rPr>
        <w:t>“</w:t>
      </w:r>
      <w:r>
        <w:rPr>
          <w:sz w:val="24"/>
        </w:rPr>
        <w:t>二十八</w:t>
      </w:r>
      <w:r>
        <w:rPr>
          <w:rFonts w:hint="eastAsia"/>
          <w:sz w:val="24"/>
        </w:rPr>
        <w:t>、</w:t>
      </w:r>
      <w:r>
        <w:rPr>
          <w:sz w:val="24"/>
        </w:rPr>
        <w:t>信息产业</w:t>
      </w:r>
      <w:r w:rsidR="00520112">
        <w:rPr>
          <w:rFonts w:hint="eastAsia"/>
          <w:sz w:val="24"/>
        </w:rPr>
        <w:t>”</w:t>
      </w:r>
      <w:r>
        <w:rPr>
          <w:rFonts w:hint="eastAsia"/>
          <w:sz w:val="24"/>
        </w:rPr>
        <w:t>之</w:t>
      </w:r>
      <w:r w:rsidR="00520112">
        <w:rPr>
          <w:rFonts w:hint="eastAsia"/>
          <w:sz w:val="24"/>
        </w:rPr>
        <w:t>“</w:t>
      </w:r>
      <w:r>
        <w:rPr>
          <w:sz w:val="24"/>
        </w:rPr>
        <w:t>22</w:t>
      </w:r>
      <w:r>
        <w:rPr>
          <w:rFonts w:hint="eastAsia"/>
          <w:sz w:val="24"/>
        </w:rPr>
        <w:t>、</w:t>
      </w:r>
      <w:r>
        <w:rPr>
          <w:sz w:val="24"/>
        </w:rPr>
        <w:t>半导体、光电子器件、新型电子元器件等电子产品用材料</w:t>
      </w:r>
      <w:r w:rsidR="00520112">
        <w:rPr>
          <w:rFonts w:hint="eastAsia"/>
          <w:sz w:val="24"/>
        </w:rPr>
        <w:t>”</w:t>
      </w:r>
      <w:r>
        <w:rPr>
          <w:sz w:val="24"/>
        </w:rPr>
        <w:t>。</w:t>
      </w:r>
    </w:p>
    <w:p w14:paraId="35B8C2DC" w14:textId="12BD974F" w:rsidR="00D26039" w:rsidRPr="005D006A" w:rsidRDefault="00B30650" w:rsidP="00805C22">
      <w:pPr>
        <w:spacing w:beforeLines="50" w:before="156" w:afterLines="50" w:after="156" w:line="360" w:lineRule="auto"/>
        <w:ind w:firstLineChars="200" w:firstLine="480"/>
        <w:rPr>
          <w:sz w:val="24"/>
        </w:rPr>
      </w:pPr>
      <w:r>
        <w:rPr>
          <w:sz w:val="24"/>
        </w:rPr>
        <w:t>2020</w:t>
      </w:r>
      <w:r w:rsidRPr="005D006A">
        <w:rPr>
          <w:rFonts w:hint="eastAsia"/>
          <w:sz w:val="24"/>
        </w:rPr>
        <w:t>年</w:t>
      </w:r>
      <w:r>
        <w:rPr>
          <w:sz w:val="24"/>
        </w:rPr>
        <w:t>9</w:t>
      </w:r>
      <w:r w:rsidRPr="005D006A">
        <w:rPr>
          <w:rFonts w:hint="eastAsia"/>
          <w:sz w:val="24"/>
        </w:rPr>
        <w:t>月，</w:t>
      </w:r>
      <w:proofErr w:type="gramStart"/>
      <w:r w:rsidRPr="005D006A">
        <w:rPr>
          <w:rFonts w:hint="eastAsia"/>
          <w:sz w:val="24"/>
        </w:rPr>
        <w:t>国家发改委</w:t>
      </w:r>
      <w:proofErr w:type="gramEnd"/>
      <w:r w:rsidRPr="005D006A">
        <w:rPr>
          <w:rFonts w:hint="eastAsia"/>
          <w:sz w:val="24"/>
        </w:rPr>
        <w:t>、科技部、工业和信息化部、财政部等四部门联合印发了《关于扩大战略性新兴产业投资</w:t>
      </w:r>
      <w:r w:rsidRPr="005D006A">
        <w:rPr>
          <w:rFonts w:hint="eastAsia"/>
          <w:sz w:val="24"/>
        </w:rPr>
        <w:t xml:space="preserve"> </w:t>
      </w:r>
      <w:r w:rsidRPr="005D006A">
        <w:rPr>
          <w:rFonts w:hint="eastAsia"/>
          <w:sz w:val="24"/>
        </w:rPr>
        <w:t>培育壮大新增长点增长极的指导意见》，将</w:t>
      </w:r>
      <w:r w:rsidR="00520112">
        <w:rPr>
          <w:rFonts w:hint="eastAsia"/>
          <w:sz w:val="24"/>
        </w:rPr>
        <w:t>“</w:t>
      </w:r>
      <w:r w:rsidRPr="005D006A">
        <w:rPr>
          <w:rFonts w:hint="eastAsia"/>
          <w:sz w:val="24"/>
        </w:rPr>
        <w:t>光伏、风电、智能电网、微电网、分布式能源、新型储能</w:t>
      </w:r>
      <w:r w:rsidR="00520112">
        <w:rPr>
          <w:rFonts w:hint="eastAsia"/>
          <w:sz w:val="24"/>
        </w:rPr>
        <w:t>”</w:t>
      </w:r>
      <w:r w:rsidRPr="005D006A">
        <w:rPr>
          <w:rFonts w:hint="eastAsia"/>
          <w:sz w:val="24"/>
        </w:rPr>
        <w:t>等列入鼓励类；</w:t>
      </w:r>
      <w:r>
        <w:rPr>
          <w:sz w:val="24"/>
        </w:rPr>
        <w:t>2021</w:t>
      </w:r>
      <w:r w:rsidRPr="005D006A">
        <w:rPr>
          <w:rFonts w:hint="eastAsia"/>
          <w:sz w:val="24"/>
        </w:rPr>
        <w:t>年</w:t>
      </w:r>
      <w:r>
        <w:rPr>
          <w:sz w:val="24"/>
        </w:rPr>
        <w:t>1</w:t>
      </w:r>
      <w:r w:rsidRPr="005D006A">
        <w:rPr>
          <w:rFonts w:hint="eastAsia"/>
          <w:sz w:val="24"/>
        </w:rPr>
        <w:t>月，</w:t>
      </w:r>
      <w:proofErr w:type="gramStart"/>
      <w:r w:rsidRPr="005D006A">
        <w:rPr>
          <w:rFonts w:hint="eastAsia"/>
          <w:sz w:val="24"/>
        </w:rPr>
        <w:t>国家发改委</w:t>
      </w:r>
      <w:proofErr w:type="gramEnd"/>
      <w:r w:rsidRPr="005D006A">
        <w:rPr>
          <w:rFonts w:hint="eastAsia"/>
          <w:sz w:val="24"/>
        </w:rPr>
        <w:t>发表《科学精准实施宏观政策</w:t>
      </w:r>
      <w:r w:rsidRPr="005D006A">
        <w:rPr>
          <w:rFonts w:hint="eastAsia"/>
          <w:sz w:val="24"/>
        </w:rPr>
        <w:t xml:space="preserve"> </w:t>
      </w:r>
      <w:r w:rsidRPr="005D006A">
        <w:rPr>
          <w:rFonts w:hint="eastAsia"/>
          <w:sz w:val="24"/>
        </w:rPr>
        <w:t>确保</w:t>
      </w:r>
      <w:r w:rsidRPr="005D006A">
        <w:rPr>
          <w:sz w:val="24"/>
        </w:rPr>
        <w:t>“</w:t>
      </w:r>
      <w:r w:rsidRPr="005D006A">
        <w:rPr>
          <w:rFonts w:hint="eastAsia"/>
          <w:sz w:val="24"/>
        </w:rPr>
        <w:t>十四五</w:t>
      </w:r>
      <w:r w:rsidRPr="005D006A">
        <w:rPr>
          <w:sz w:val="24"/>
        </w:rPr>
        <w:t>”</w:t>
      </w:r>
      <w:r w:rsidRPr="005D006A">
        <w:rPr>
          <w:rFonts w:hint="eastAsia"/>
          <w:sz w:val="24"/>
        </w:rPr>
        <w:t>开好局起好步》，指出要</w:t>
      </w:r>
      <w:r w:rsidR="00520112">
        <w:rPr>
          <w:rFonts w:hint="eastAsia"/>
          <w:sz w:val="24"/>
        </w:rPr>
        <w:t>“</w:t>
      </w:r>
      <w:r w:rsidRPr="005D006A">
        <w:rPr>
          <w:rFonts w:hint="eastAsia"/>
          <w:sz w:val="24"/>
        </w:rPr>
        <w:t>强化和完善能源消费总量和强度双控制度，实施</w:t>
      </w:r>
      <w:r w:rsidRPr="005D006A">
        <w:rPr>
          <w:sz w:val="24"/>
        </w:rPr>
        <w:t>‘</w:t>
      </w:r>
      <w:r w:rsidRPr="005D006A">
        <w:rPr>
          <w:rFonts w:hint="eastAsia"/>
          <w:sz w:val="24"/>
        </w:rPr>
        <w:t>十四五</w:t>
      </w:r>
      <w:r w:rsidRPr="005D006A">
        <w:rPr>
          <w:sz w:val="24"/>
        </w:rPr>
        <w:t>’</w:t>
      </w:r>
      <w:r w:rsidRPr="005D006A">
        <w:rPr>
          <w:rFonts w:hint="eastAsia"/>
          <w:sz w:val="24"/>
        </w:rPr>
        <w:t>节能减排综合工作方案。推进水电、风电、光伏发电等可再生能源及氢能等清洁能源发展，提高清洁能源消费占比</w:t>
      </w:r>
      <w:r w:rsidR="00520112">
        <w:rPr>
          <w:rFonts w:hint="eastAsia"/>
          <w:sz w:val="24"/>
        </w:rPr>
        <w:t>”</w:t>
      </w:r>
      <w:r w:rsidRPr="005D006A">
        <w:rPr>
          <w:rFonts w:hint="eastAsia"/>
          <w:sz w:val="24"/>
        </w:rPr>
        <w:t>。</w:t>
      </w:r>
    </w:p>
    <w:p w14:paraId="0C183C2E" w14:textId="5E8E8A4E" w:rsidR="00D26039" w:rsidRDefault="00B30650">
      <w:pPr>
        <w:spacing w:beforeLines="50" w:before="156" w:afterLines="50" w:after="156" w:line="360" w:lineRule="auto"/>
        <w:ind w:firstLineChars="200" w:firstLine="480"/>
        <w:rPr>
          <w:rFonts w:ascii="宋体" w:hAnsi="宋体"/>
          <w:kern w:val="0"/>
          <w:sz w:val="24"/>
        </w:rPr>
      </w:pPr>
      <w:r>
        <w:rPr>
          <w:kern w:val="0"/>
          <w:sz w:val="24"/>
        </w:rPr>
        <w:t>2021</w:t>
      </w:r>
      <w:r>
        <w:rPr>
          <w:rFonts w:ascii="宋体" w:hAnsi="宋体" w:hint="eastAsia"/>
          <w:kern w:val="0"/>
          <w:sz w:val="24"/>
        </w:rPr>
        <w:t>年</w:t>
      </w:r>
      <w:r>
        <w:rPr>
          <w:rFonts w:hint="eastAsia"/>
          <w:kern w:val="0"/>
          <w:sz w:val="24"/>
        </w:rPr>
        <w:t>1</w:t>
      </w:r>
      <w:r>
        <w:rPr>
          <w:rFonts w:ascii="宋体" w:hAnsi="宋体" w:hint="eastAsia"/>
          <w:kern w:val="0"/>
          <w:sz w:val="24"/>
        </w:rPr>
        <w:t>月，工业和信息化部</w:t>
      </w:r>
      <w:r w:rsidR="00EC2FA6">
        <w:rPr>
          <w:rFonts w:ascii="宋体" w:hAnsi="宋体" w:hint="eastAsia"/>
          <w:kern w:val="0"/>
          <w:sz w:val="24"/>
        </w:rPr>
        <w:t>发布</w:t>
      </w:r>
      <w:r>
        <w:rPr>
          <w:rFonts w:ascii="宋体" w:hAnsi="宋体" w:hint="eastAsia"/>
          <w:kern w:val="0"/>
          <w:sz w:val="24"/>
        </w:rPr>
        <w:t>《基础电子元器件产业发展行动计划（</w:t>
      </w:r>
      <w:r>
        <w:rPr>
          <w:rFonts w:hint="eastAsia"/>
          <w:kern w:val="0"/>
          <w:sz w:val="24"/>
        </w:rPr>
        <w:t>2021</w:t>
      </w:r>
      <w:r>
        <w:rPr>
          <w:rFonts w:ascii="宋体" w:hAnsi="宋体" w:hint="eastAsia"/>
          <w:kern w:val="0"/>
          <w:sz w:val="24"/>
        </w:rPr>
        <w:t>-</w:t>
      </w:r>
      <w:r>
        <w:rPr>
          <w:rFonts w:hint="eastAsia"/>
          <w:kern w:val="0"/>
          <w:sz w:val="24"/>
        </w:rPr>
        <w:t>2023</w:t>
      </w:r>
      <w:r>
        <w:rPr>
          <w:rFonts w:ascii="宋体" w:hAnsi="宋体" w:hint="eastAsia"/>
          <w:kern w:val="0"/>
          <w:sz w:val="24"/>
        </w:rPr>
        <w:t>年）》，</w:t>
      </w:r>
      <w:r w:rsidR="00EC2FA6">
        <w:rPr>
          <w:rFonts w:ascii="宋体" w:hAnsi="宋体" w:hint="eastAsia"/>
          <w:kern w:val="0"/>
          <w:sz w:val="24"/>
        </w:rPr>
        <w:t>指出</w:t>
      </w:r>
      <w:r>
        <w:rPr>
          <w:rFonts w:ascii="宋体" w:hAnsi="宋体" w:hint="eastAsia"/>
          <w:kern w:val="0"/>
          <w:sz w:val="24"/>
        </w:rPr>
        <w:t>到</w:t>
      </w:r>
      <w:r>
        <w:rPr>
          <w:kern w:val="0"/>
          <w:sz w:val="24"/>
        </w:rPr>
        <w:t>2023</w:t>
      </w:r>
      <w:r>
        <w:rPr>
          <w:rFonts w:ascii="宋体" w:hAnsi="宋体" w:hint="eastAsia"/>
          <w:kern w:val="0"/>
          <w:sz w:val="24"/>
        </w:rPr>
        <w:t>年突破一批电子元器件关键技术，行业总体创新投入进一步提升，射频滤波器、高速连接器、片式多层陶瓷电容器、光通信器件等重点产品专利布局更加完善。把握传统汽车向电动化、智能化、网联化的新能源汽车和智能网联汽车转型的市场机遇，重点推动车</w:t>
      </w:r>
      <w:proofErr w:type="gramStart"/>
      <w:r>
        <w:rPr>
          <w:rFonts w:ascii="宋体" w:hAnsi="宋体" w:hint="eastAsia"/>
          <w:kern w:val="0"/>
          <w:sz w:val="24"/>
        </w:rPr>
        <w:t>规</w:t>
      </w:r>
      <w:proofErr w:type="gramEnd"/>
      <w:r>
        <w:rPr>
          <w:rFonts w:ascii="宋体" w:hAnsi="宋体" w:hint="eastAsia"/>
          <w:kern w:val="0"/>
          <w:sz w:val="24"/>
        </w:rPr>
        <w:t>级传感器、电容器（含超级电容器）、电阻器、频率元器件、连接器与线缆组件、微</w:t>
      </w:r>
      <w:proofErr w:type="gramStart"/>
      <w:r>
        <w:rPr>
          <w:rFonts w:ascii="宋体" w:hAnsi="宋体" w:hint="eastAsia"/>
          <w:kern w:val="0"/>
          <w:sz w:val="24"/>
        </w:rPr>
        <w:t>特</w:t>
      </w:r>
      <w:proofErr w:type="gramEnd"/>
      <w:r>
        <w:rPr>
          <w:rFonts w:ascii="宋体" w:hAnsi="宋体" w:hint="eastAsia"/>
          <w:kern w:val="0"/>
          <w:sz w:val="24"/>
        </w:rPr>
        <w:t>电机、控制继电器、新型化学和物理电池等电子元器件应用。</w:t>
      </w:r>
    </w:p>
    <w:p w14:paraId="4F4D1368" w14:textId="4E51B33C" w:rsidR="00725F2F" w:rsidRDefault="00725F2F">
      <w:pPr>
        <w:spacing w:beforeLines="50" w:before="156" w:afterLines="50" w:after="156" w:line="360" w:lineRule="auto"/>
        <w:ind w:firstLineChars="200" w:firstLine="480"/>
        <w:rPr>
          <w:rFonts w:ascii="宋体" w:hAnsi="宋体"/>
          <w:kern w:val="0"/>
          <w:sz w:val="24"/>
        </w:rPr>
      </w:pPr>
      <w:r w:rsidRPr="00FB406A">
        <w:rPr>
          <w:rFonts w:hint="eastAsia"/>
          <w:kern w:val="0"/>
          <w:sz w:val="24"/>
        </w:rPr>
        <w:t>综上，近年来国家出台一系列政策支持风电、光伏、新能源汽车等新能源产业及其所使用的电容器产品的发展，从而进一步增加对电容器薄膜的需求，为电容器用薄膜材料产品带来发展机遇。</w:t>
      </w:r>
    </w:p>
    <w:p w14:paraId="18C9646A" w14:textId="5A75E484" w:rsidR="00D26039" w:rsidRPr="00725F2F" w:rsidRDefault="00B30650">
      <w:pPr>
        <w:spacing w:beforeLines="50" w:before="156" w:afterLines="50" w:after="156" w:line="360" w:lineRule="auto"/>
        <w:ind w:firstLineChars="200" w:firstLine="482"/>
        <w:rPr>
          <w:rFonts w:asciiTheme="minorEastAsia" w:eastAsiaTheme="minorEastAsia" w:hAnsiTheme="minorEastAsia"/>
          <w:b/>
          <w:bCs/>
          <w:kern w:val="0"/>
          <w:sz w:val="24"/>
        </w:rPr>
      </w:pPr>
      <w:r w:rsidRPr="00725F2F">
        <w:rPr>
          <w:rFonts w:asciiTheme="minorEastAsia" w:eastAsiaTheme="minorEastAsia" w:hAnsiTheme="minorEastAsia"/>
          <w:b/>
          <w:bCs/>
          <w:kern w:val="0"/>
          <w:sz w:val="24"/>
        </w:rPr>
        <w:t>2、</w:t>
      </w:r>
      <w:r w:rsidR="00725F2F">
        <w:rPr>
          <w:rFonts w:ascii="宋体" w:hAnsi="宋体"/>
          <w:b/>
          <w:bCs/>
          <w:kern w:val="0"/>
          <w:sz w:val="24"/>
        </w:rPr>
        <w:t>下游行业快速发展，</w:t>
      </w:r>
      <w:r w:rsidR="00725F2F">
        <w:rPr>
          <w:rFonts w:ascii="宋体" w:hAnsi="宋体" w:hint="eastAsia"/>
          <w:b/>
          <w:bCs/>
          <w:kern w:val="0"/>
          <w:sz w:val="24"/>
        </w:rPr>
        <w:t>公司</w:t>
      </w:r>
      <w:r w:rsidR="00725F2F" w:rsidRPr="00E7457F">
        <w:rPr>
          <w:rFonts w:ascii="宋体" w:hAnsi="宋体" w:hint="eastAsia"/>
          <w:b/>
          <w:bCs/>
          <w:kern w:val="0"/>
          <w:sz w:val="24"/>
        </w:rPr>
        <w:t>新能源用超薄型薄膜材料</w:t>
      </w:r>
      <w:r w:rsidR="00725F2F">
        <w:rPr>
          <w:rFonts w:ascii="宋体" w:hAnsi="宋体"/>
          <w:b/>
          <w:bCs/>
          <w:kern w:val="0"/>
          <w:sz w:val="24"/>
        </w:rPr>
        <w:t>市场前景广阔</w:t>
      </w:r>
    </w:p>
    <w:p w14:paraId="40A31CBE" w14:textId="77777777" w:rsidR="00EC2FA6" w:rsidRPr="00EC2FA6" w:rsidRDefault="00EC2FA6" w:rsidP="00EC2FA6">
      <w:pPr>
        <w:spacing w:beforeLines="50" w:before="156" w:afterLines="50" w:after="156" w:line="360" w:lineRule="auto"/>
        <w:ind w:firstLineChars="200" w:firstLine="480"/>
        <w:rPr>
          <w:kern w:val="0"/>
          <w:sz w:val="24"/>
        </w:rPr>
      </w:pPr>
      <w:bookmarkStart w:id="25" w:name="_Hlk112410203"/>
      <w:r w:rsidRPr="00EC2FA6">
        <w:rPr>
          <w:sz w:val="24"/>
        </w:rPr>
        <w:t>2020</w:t>
      </w:r>
      <w:r w:rsidRPr="00EC2FA6">
        <w:rPr>
          <w:sz w:val="24"/>
        </w:rPr>
        <w:t>年</w:t>
      </w:r>
      <w:r w:rsidRPr="00EC2FA6">
        <w:rPr>
          <w:sz w:val="24"/>
        </w:rPr>
        <w:t>10</w:t>
      </w:r>
      <w:r w:rsidRPr="00EC2FA6">
        <w:rPr>
          <w:sz w:val="24"/>
        </w:rPr>
        <w:t>月，根据国务院办公厅印发的《新能源汽车产业发展规划（</w:t>
      </w:r>
      <w:r w:rsidRPr="00EC2FA6">
        <w:rPr>
          <w:sz w:val="24"/>
        </w:rPr>
        <w:t>2021—2035</w:t>
      </w:r>
      <w:r w:rsidRPr="00EC2FA6">
        <w:rPr>
          <w:sz w:val="24"/>
        </w:rPr>
        <w:t>年）》的发展愿景，到</w:t>
      </w:r>
      <w:r w:rsidRPr="00EC2FA6">
        <w:rPr>
          <w:sz w:val="24"/>
        </w:rPr>
        <w:t>2025</w:t>
      </w:r>
      <w:r w:rsidRPr="00EC2FA6">
        <w:rPr>
          <w:sz w:val="24"/>
        </w:rPr>
        <w:t>年中国新能源汽车销量占比将达到</w:t>
      </w:r>
      <w:r w:rsidRPr="00EC2FA6">
        <w:rPr>
          <w:sz w:val="24"/>
        </w:rPr>
        <w:t>20%</w:t>
      </w:r>
      <w:r w:rsidRPr="00EC2FA6">
        <w:rPr>
          <w:sz w:val="24"/>
        </w:rPr>
        <w:t>左右，到</w:t>
      </w:r>
      <w:r w:rsidRPr="00EC2FA6">
        <w:rPr>
          <w:sz w:val="24"/>
        </w:rPr>
        <w:t>2035</w:t>
      </w:r>
      <w:r w:rsidRPr="00EC2FA6">
        <w:rPr>
          <w:sz w:val="24"/>
        </w:rPr>
        <w:t>年纯电动汽车成为新销售车辆的主流。</w:t>
      </w:r>
    </w:p>
    <w:bookmarkEnd w:id="25"/>
    <w:p w14:paraId="011DF6BA" w14:textId="4629FFEC" w:rsidR="00D26039" w:rsidRDefault="00B30650">
      <w:pPr>
        <w:spacing w:beforeLines="50" w:before="156" w:afterLines="50" w:after="156" w:line="360" w:lineRule="auto"/>
        <w:ind w:firstLineChars="200" w:firstLine="480"/>
        <w:rPr>
          <w:sz w:val="24"/>
        </w:rPr>
      </w:pPr>
      <w:r>
        <w:rPr>
          <w:rFonts w:hint="eastAsia"/>
          <w:sz w:val="24"/>
        </w:rPr>
        <w:t>2</w:t>
      </w:r>
      <w:r>
        <w:rPr>
          <w:sz w:val="24"/>
        </w:rPr>
        <w:t>021</w:t>
      </w:r>
      <w:r>
        <w:rPr>
          <w:rFonts w:hint="eastAsia"/>
          <w:sz w:val="24"/>
        </w:rPr>
        <w:t>年</w:t>
      </w:r>
      <w:r>
        <w:rPr>
          <w:rFonts w:hint="eastAsia"/>
          <w:sz w:val="24"/>
        </w:rPr>
        <w:t>9</w:t>
      </w:r>
      <w:r>
        <w:rPr>
          <w:rFonts w:hint="eastAsia"/>
          <w:sz w:val="24"/>
        </w:rPr>
        <w:t>月</w:t>
      </w:r>
      <w:r w:rsidR="00EC2FA6">
        <w:rPr>
          <w:rFonts w:hint="eastAsia"/>
          <w:sz w:val="24"/>
        </w:rPr>
        <w:t>，</w:t>
      </w:r>
      <w:r>
        <w:rPr>
          <w:rFonts w:hint="eastAsia"/>
          <w:sz w:val="24"/>
        </w:rPr>
        <w:t>中共中央</w:t>
      </w:r>
      <w:r w:rsidR="00EC2FA6">
        <w:rPr>
          <w:rFonts w:hint="eastAsia"/>
          <w:sz w:val="24"/>
        </w:rPr>
        <w:t>、</w:t>
      </w:r>
      <w:r>
        <w:rPr>
          <w:rFonts w:hint="eastAsia"/>
          <w:sz w:val="24"/>
        </w:rPr>
        <w:t>国务院</w:t>
      </w:r>
      <w:r w:rsidR="00EC2FA6">
        <w:rPr>
          <w:rFonts w:hint="eastAsia"/>
          <w:sz w:val="24"/>
        </w:rPr>
        <w:t>发布的</w:t>
      </w:r>
      <w:r>
        <w:rPr>
          <w:rFonts w:hint="eastAsia"/>
          <w:sz w:val="24"/>
        </w:rPr>
        <w:t>《关于完整准确全面贯彻新发展理</w:t>
      </w:r>
      <w:r>
        <w:rPr>
          <w:rFonts w:hint="eastAsia"/>
          <w:sz w:val="24"/>
        </w:rPr>
        <w:lastRenderedPageBreak/>
        <w:t>念做好碳达峰碳中和工作的意见》提出</w:t>
      </w:r>
      <w:r w:rsidR="00EC2FA6">
        <w:rPr>
          <w:rFonts w:hint="eastAsia"/>
          <w:sz w:val="24"/>
        </w:rPr>
        <w:t>，</w:t>
      </w:r>
      <w:r>
        <w:rPr>
          <w:rFonts w:hint="eastAsia"/>
          <w:sz w:val="24"/>
        </w:rPr>
        <w:t>到</w:t>
      </w:r>
      <w:r>
        <w:rPr>
          <w:rFonts w:hint="eastAsia"/>
          <w:sz w:val="24"/>
        </w:rPr>
        <w:t>2025</w:t>
      </w:r>
      <w:r>
        <w:rPr>
          <w:rFonts w:hint="eastAsia"/>
          <w:sz w:val="24"/>
        </w:rPr>
        <w:t>年绿色低碳循环发展的经济体系初步形成，单位国内生产总值能耗比</w:t>
      </w:r>
      <w:r>
        <w:rPr>
          <w:rFonts w:hint="eastAsia"/>
          <w:sz w:val="24"/>
        </w:rPr>
        <w:t>2020</w:t>
      </w:r>
      <w:r>
        <w:rPr>
          <w:rFonts w:hint="eastAsia"/>
          <w:sz w:val="24"/>
        </w:rPr>
        <w:t>年下降</w:t>
      </w:r>
      <w:r>
        <w:rPr>
          <w:rFonts w:hint="eastAsia"/>
          <w:sz w:val="24"/>
        </w:rPr>
        <w:t>13.5%</w:t>
      </w:r>
      <w:r>
        <w:rPr>
          <w:rFonts w:hint="eastAsia"/>
          <w:sz w:val="24"/>
        </w:rPr>
        <w:t>，非化石能源消费比重达到</w:t>
      </w:r>
      <w:r>
        <w:rPr>
          <w:rFonts w:hint="eastAsia"/>
          <w:sz w:val="24"/>
        </w:rPr>
        <w:t>20%</w:t>
      </w:r>
      <w:r>
        <w:rPr>
          <w:rFonts w:hint="eastAsia"/>
          <w:sz w:val="24"/>
        </w:rPr>
        <w:t>左右。到</w:t>
      </w:r>
      <w:r>
        <w:rPr>
          <w:rFonts w:hint="eastAsia"/>
          <w:sz w:val="24"/>
        </w:rPr>
        <w:t>2030</w:t>
      </w:r>
      <w:r>
        <w:rPr>
          <w:rFonts w:hint="eastAsia"/>
          <w:sz w:val="24"/>
        </w:rPr>
        <w:t>年，经济社会发展全面绿色转型取得显著成效，重点耗能行业能源利用效率达到国际先进水平，风电、太阳能发电总装机容量达到</w:t>
      </w:r>
      <w:r>
        <w:rPr>
          <w:rFonts w:hint="eastAsia"/>
          <w:sz w:val="24"/>
        </w:rPr>
        <w:t>12</w:t>
      </w:r>
      <w:r>
        <w:rPr>
          <w:rFonts w:hint="eastAsia"/>
          <w:sz w:val="24"/>
        </w:rPr>
        <w:t>亿千瓦以上。到</w:t>
      </w:r>
      <w:r>
        <w:rPr>
          <w:rFonts w:hint="eastAsia"/>
          <w:sz w:val="24"/>
        </w:rPr>
        <w:t>2060</w:t>
      </w:r>
      <w:r>
        <w:rPr>
          <w:rFonts w:hint="eastAsia"/>
          <w:sz w:val="24"/>
        </w:rPr>
        <w:t>年，绿色低碳循环发展的经济体系和清洁低碳安全高效的能源体系全面建立，能源利用效率达到国际先进水平，非化石能源消费比重达到</w:t>
      </w:r>
      <w:r>
        <w:rPr>
          <w:rFonts w:hint="eastAsia"/>
          <w:sz w:val="24"/>
        </w:rPr>
        <w:t>80%</w:t>
      </w:r>
      <w:r>
        <w:rPr>
          <w:rFonts w:hint="eastAsia"/>
          <w:sz w:val="24"/>
        </w:rPr>
        <w:t>以上。</w:t>
      </w:r>
    </w:p>
    <w:p w14:paraId="05D6A127" w14:textId="08E3EB52" w:rsidR="00D26039" w:rsidRDefault="00B30650">
      <w:pPr>
        <w:spacing w:beforeLines="50" w:before="156" w:afterLines="50" w:after="156" w:line="360" w:lineRule="auto"/>
        <w:ind w:firstLineChars="200" w:firstLine="480"/>
        <w:rPr>
          <w:rFonts w:ascii="宋体" w:hAnsi="宋体"/>
          <w:kern w:val="0"/>
          <w:sz w:val="24"/>
        </w:rPr>
      </w:pPr>
      <w:r>
        <w:rPr>
          <w:rFonts w:ascii="宋体" w:hAnsi="宋体"/>
          <w:kern w:val="0"/>
          <w:sz w:val="24"/>
        </w:rPr>
        <w:t>新能源行业的快速发展，使得新能源电容器的市场需求越来越大。新能源电容器主要应用于交直流滤波、混合动力汽车以及太阳能光伏发电和风力发电等新能源领域。</w:t>
      </w:r>
      <w:r>
        <w:rPr>
          <w:rFonts w:ascii="宋体" w:hAnsi="宋体" w:hint="eastAsia"/>
          <w:sz w:val="24"/>
        </w:rPr>
        <w:t>而超薄型聚丙烯薄膜正是适用于以上新能源用电容器制造所需的新一代有机绝缘介质，具有优越的电气及机械加工性能，是新能源用薄膜电容器的核心原材料</w:t>
      </w:r>
      <w:r>
        <w:rPr>
          <w:rFonts w:ascii="宋体" w:hAnsi="宋体"/>
          <w:kern w:val="0"/>
          <w:sz w:val="24"/>
        </w:rPr>
        <w:t>，市场需求</w:t>
      </w:r>
      <w:r>
        <w:rPr>
          <w:rFonts w:ascii="宋体" w:hAnsi="宋体" w:hint="eastAsia"/>
          <w:kern w:val="0"/>
          <w:sz w:val="24"/>
        </w:rPr>
        <w:t>旺盛</w:t>
      </w:r>
      <w:r w:rsidR="009A2571">
        <w:rPr>
          <w:rFonts w:ascii="宋体" w:hAnsi="宋体" w:hint="eastAsia"/>
          <w:kern w:val="0"/>
          <w:sz w:val="24"/>
        </w:rPr>
        <w:t>，市场前景广阔</w:t>
      </w:r>
      <w:r>
        <w:rPr>
          <w:rFonts w:ascii="宋体" w:hAnsi="宋体"/>
          <w:kern w:val="0"/>
          <w:sz w:val="24"/>
        </w:rPr>
        <w:t>。</w:t>
      </w:r>
    </w:p>
    <w:p w14:paraId="431D71CF" w14:textId="77777777" w:rsidR="00725F2F" w:rsidRPr="00725F2F" w:rsidRDefault="00725F2F" w:rsidP="00725F2F">
      <w:pPr>
        <w:spacing w:beforeLines="50" w:before="156" w:afterLines="50" w:after="156" w:line="360" w:lineRule="auto"/>
        <w:ind w:firstLineChars="200" w:firstLine="482"/>
        <w:rPr>
          <w:rFonts w:asciiTheme="minorEastAsia" w:eastAsiaTheme="minorEastAsia" w:hAnsiTheme="minorEastAsia"/>
          <w:b/>
          <w:bCs/>
          <w:kern w:val="0"/>
          <w:sz w:val="24"/>
        </w:rPr>
      </w:pPr>
      <w:r w:rsidRPr="00725F2F">
        <w:rPr>
          <w:rFonts w:asciiTheme="minorEastAsia" w:eastAsiaTheme="minorEastAsia" w:hAnsiTheme="minorEastAsia"/>
          <w:b/>
          <w:bCs/>
          <w:kern w:val="0"/>
          <w:sz w:val="24"/>
        </w:rPr>
        <w:t>3、</w:t>
      </w:r>
      <w:r w:rsidRPr="00725F2F">
        <w:rPr>
          <w:rFonts w:asciiTheme="minorEastAsia" w:eastAsiaTheme="minorEastAsia" w:hAnsiTheme="minorEastAsia" w:hint="eastAsia"/>
          <w:b/>
          <w:bCs/>
          <w:kern w:val="0"/>
          <w:sz w:val="24"/>
        </w:rPr>
        <w:t>项目投入规模较大，公司现有资金规模无法满足项目快速推进的需求</w:t>
      </w:r>
    </w:p>
    <w:p w14:paraId="5BA3E3DF" w14:textId="5E1490AC" w:rsidR="00725F2F" w:rsidRPr="00E7457F" w:rsidRDefault="00725F2F" w:rsidP="00725F2F">
      <w:pPr>
        <w:spacing w:beforeLines="50" w:before="156" w:afterLines="50" w:after="156" w:line="360" w:lineRule="auto"/>
        <w:ind w:firstLineChars="200" w:firstLine="480"/>
        <w:rPr>
          <w:rFonts w:ascii="宋体" w:hAnsi="宋体"/>
          <w:kern w:val="0"/>
          <w:sz w:val="24"/>
        </w:rPr>
      </w:pPr>
      <w:r w:rsidRPr="00426026">
        <w:rPr>
          <w:rFonts w:ascii="宋体" w:hAnsi="宋体" w:hint="eastAsia"/>
          <w:kern w:val="0"/>
          <w:sz w:val="24"/>
        </w:rPr>
        <w:t>近年来，受益于新能源汽车、光伏、风电等下游行业快速发展，新能源用超薄型薄膜材料产品市场需求旺盛，公司于</w:t>
      </w:r>
      <w:r w:rsidRPr="00426026">
        <w:rPr>
          <w:rFonts w:ascii="宋体" w:hAnsi="宋体"/>
          <w:kern w:val="0"/>
          <w:sz w:val="24"/>
        </w:rPr>
        <w:t>2021年6月召开第九届董事会第五次会议审议通过了《关于投资建设项目的议案》，同意投资建设“新能源用超薄型薄膜材料项目”，公司已用自有资金进行了</w:t>
      </w:r>
      <w:r>
        <w:rPr>
          <w:rFonts w:ascii="宋体" w:hAnsi="宋体" w:hint="eastAsia"/>
          <w:kern w:val="0"/>
          <w:sz w:val="24"/>
        </w:rPr>
        <w:t>部分</w:t>
      </w:r>
      <w:r w:rsidRPr="00426026">
        <w:rPr>
          <w:rFonts w:ascii="宋体" w:hAnsi="宋体"/>
          <w:kern w:val="0"/>
          <w:sz w:val="24"/>
        </w:rPr>
        <w:t>前期投入。“新能源用超薄型薄膜材料项目”项目总投资额34,550.00万元，鉴于投资金额较大，公司自有资金无法满足项目建设需求，通过银行借款方式解决项目建设资金需求会给公司</w:t>
      </w:r>
      <w:r>
        <w:rPr>
          <w:rFonts w:ascii="宋体" w:hAnsi="宋体" w:hint="eastAsia"/>
          <w:kern w:val="0"/>
          <w:sz w:val="24"/>
        </w:rPr>
        <w:t>带来</w:t>
      </w:r>
      <w:r w:rsidRPr="00426026">
        <w:rPr>
          <w:rFonts w:ascii="宋体" w:hAnsi="宋体"/>
          <w:kern w:val="0"/>
          <w:sz w:val="24"/>
        </w:rPr>
        <w:t>较大的资金压力。为有效抓住行业</w:t>
      </w:r>
      <w:r>
        <w:rPr>
          <w:rFonts w:ascii="宋体" w:hAnsi="宋体" w:hint="eastAsia"/>
          <w:kern w:val="0"/>
          <w:sz w:val="24"/>
        </w:rPr>
        <w:t>发展</w:t>
      </w:r>
      <w:r w:rsidRPr="00426026">
        <w:rPr>
          <w:rFonts w:ascii="宋体" w:hAnsi="宋体"/>
          <w:kern w:val="0"/>
          <w:sz w:val="24"/>
        </w:rPr>
        <w:t>机遇，加快推进项目建设，公司决定通过本次非公开发</w:t>
      </w:r>
      <w:r w:rsidRPr="00426026">
        <w:rPr>
          <w:rFonts w:ascii="宋体" w:hAnsi="宋体" w:hint="eastAsia"/>
          <w:kern w:val="0"/>
          <w:sz w:val="24"/>
        </w:rPr>
        <w:t>行解决项目建设资金需求，以满足日益增长的新能源用超薄型薄膜材料市场需求，促进公司未来发展。</w:t>
      </w:r>
    </w:p>
    <w:p w14:paraId="58F14A1D"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（二）本次非公开发行</w:t>
      </w:r>
      <w:r>
        <w:rPr>
          <w:rFonts w:eastAsia="黑体" w:hint="eastAsia"/>
          <w:b/>
          <w:bCs/>
          <w:kern w:val="0"/>
          <w:sz w:val="24"/>
        </w:rPr>
        <w:t>股票</w:t>
      </w:r>
      <w:r>
        <w:rPr>
          <w:rFonts w:eastAsia="黑体"/>
          <w:b/>
          <w:bCs/>
          <w:kern w:val="0"/>
          <w:sz w:val="24"/>
        </w:rPr>
        <w:t>的目的</w:t>
      </w:r>
    </w:p>
    <w:p w14:paraId="3BB52E73" w14:textId="77777777" w:rsidR="00D26039" w:rsidRDefault="00B30650">
      <w:pPr>
        <w:spacing w:beforeLines="50" w:before="156" w:afterLines="50" w:after="156" w:line="360" w:lineRule="auto"/>
        <w:ind w:firstLineChars="200" w:firstLine="482"/>
        <w:rPr>
          <w:rFonts w:ascii="宋体" w:hAnsi="宋体"/>
          <w:b/>
          <w:bCs/>
          <w:kern w:val="0"/>
          <w:sz w:val="24"/>
        </w:rPr>
      </w:pPr>
      <w:bookmarkStart w:id="26" w:name="_Toc512526893"/>
      <w:bookmarkStart w:id="27" w:name="_Toc275608365"/>
      <w:r>
        <w:rPr>
          <w:rFonts w:hint="eastAsia"/>
          <w:b/>
          <w:bCs/>
          <w:kern w:val="0"/>
          <w:sz w:val="24"/>
        </w:rPr>
        <w:t>1</w:t>
      </w:r>
      <w:r>
        <w:rPr>
          <w:rFonts w:ascii="宋体" w:hAnsi="宋体" w:hint="eastAsia"/>
          <w:b/>
          <w:bCs/>
          <w:kern w:val="0"/>
          <w:sz w:val="24"/>
        </w:rPr>
        <w:t>、促进产品升级</w:t>
      </w:r>
      <w:r>
        <w:rPr>
          <w:rFonts w:ascii="宋体" w:hAnsi="宋体"/>
          <w:b/>
          <w:bCs/>
          <w:kern w:val="0"/>
          <w:sz w:val="24"/>
        </w:rPr>
        <w:t>，提高</w:t>
      </w:r>
      <w:r>
        <w:rPr>
          <w:rFonts w:ascii="宋体" w:hAnsi="宋体" w:hint="eastAsia"/>
          <w:b/>
          <w:bCs/>
          <w:kern w:val="0"/>
          <w:sz w:val="24"/>
        </w:rPr>
        <w:t>盈利能力</w:t>
      </w:r>
    </w:p>
    <w:p w14:paraId="30C3CB8B" w14:textId="2930A76B" w:rsidR="00D26039" w:rsidRDefault="00A579D6">
      <w:pPr>
        <w:spacing w:beforeLines="50" w:before="156" w:afterLines="50" w:after="156" w:line="360" w:lineRule="auto"/>
        <w:ind w:firstLineChars="200" w:firstLine="480"/>
        <w:rPr>
          <w:rFonts w:ascii="宋体" w:hAnsi="宋体"/>
          <w:kern w:val="0"/>
          <w:sz w:val="24"/>
        </w:rPr>
      </w:pPr>
      <w:r w:rsidRPr="00A579D6">
        <w:rPr>
          <w:rFonts w:ascii="宋体" w:hAnsi="宋体" w:hint="eastAsia"/>
          <w:kern w:val="0"/>
          <w:sz w:val="24"/>
        </w:rPr>
        <w:t>本次</w:t>
      </w:r>
      <w:proofErr w:type="gramStart"/>
      <w:r w:rsidRPr="00A579D6">
        <w:rPr>
          <w:rFonts w:ascii="宋体" w:hAnsi="宋体" w:hint="eastAsia"/>
          <w:kern w:val="0"/>
          <w:sz w:val="24"/>
        </w:rPr>
        <w:t>募投项目</w:t>
      </w:r>
      <w:proofErr w:type="gramEnd"/>
      <w:r w:rsidRPr="00A579D6">
        <w:rPr>
          <w:rFonts w:ascii="宋体" w:hAnsi="宋体" w:hint="eastAsia"/>
          <w:kern w:val="0"/>
          <w:sz w:val="24"/>
        </w:rPr>
        <w:t>将抓住当前薄膜市场的有利时机，积极占领新能源汽车、风电、光伏、电力电子等未来高增长、高附加值领域的市场份额。“铜峰电子新能源用超薄型薄膜材料项目</w:t>
      </w:r>
      <w:r w:rsidR="00520112">
        <w:rPr>
          <w:rFonts w:ascii="宋体" w:hAnsi="宋体" w:hint="eastAsia"/>
          <w:kern w:val="0"/>
          <w:sz w:val="24"/>
        </w:rPr>
        <w:t>”</w:t>
      </w:r>
      <w:r w:rsidRPr="00A579D6">
        <w:rPr>
          <w:rFonts w:ascii="宋体" w:hAnsi="宋体" w:hint="eastAsia"/>
          <w:kern w:val="0"/>
          <w:sz w:val="24"/>
        </w:rPr>
        <w:t>建成后，公司可根据生产及市场情况，统筹现有生产线，</w:t>
      </w:r>
      <w:r w:rsidRPr="00A579D6">
        <w:rPr>
          <w:rFonts w:ascii="宋体" w:hAnsi="宋体" w:hint="eastAsia"/>
          <w:kern w:val="0"/>
          <w:sz w:val="24"/>
        </w:rPr>
        <w:lastRenderedPageBreak/>
        <w:t>改善现有薄膜产品结构，促进公司产品升级，缓解市场供需矛盾，巩固公司的行业地位。同时，随着生产规模的进一步扩大，能有效降低产品生产成本、提高劳动生产率，实现产品的转型升级，提高产品的附加值，提升企业的利润空间，进而提高公司的盈利能力。</w:t>
      </w:r>
    </w:p>
    <w:p w14:paraId="62645E33" w14:textId="77777777" w:rsidR="00D26039" w:rsidRDefault="00B30650">
      <w:pPr>
        <w:spacing w:beforeLines="50" w:before="156" w:afterLines="50" w:after="156" w:line="360" w:lineRule="auto"/>
        <w:ind w:firstLineChars="200" w:firstLine="482"/>
        <w:rPr>
          <w:rFonts w:ascii="宋体" w:hAnsi="宋体"/>
          <w:b/>
          <w:bCs/>
          <w:kern w:val="0"/>
          <w:sz w:val="24"/>
        </w:rPr>
      </w:pPr>
      <w:r>
        <w:rPr>
          <w:rFonts w:hint="eastAsia"/>
          <w:b/>
          <w:bCs/>
          <w:kern w:val="0"/>
          <w:sz w:val="24"/>
        </w:rPr>
        <w:t>2</w:t>
      </w:r>
      <w:r>
        <w:rPr>
          <w:rFonts w:ascii="宋体" w:hAnsi="宋体" w:hint="eastAsia"/>
          <w:b/>
          <w:bCs/>
          <w:kern w:val="0"/>
          <w:sz w:val="24"/>
        </w:rPr>
        <w:t>、优化资本结构，改善财务状况</w:t>
      </w:r>
    </w:p>
    <w:p w14:paraId="3F7EA80A" w14:textId="77777777" w:rsidR="00D26039" w:rsidRDefault="00B30650">
      <w:pPr>
        <w:spacing w:beforeLines="50" w:before="156" w:afterLines="50" w:after="156" w:line="360" w:lineRule="auto"/>
        <w:ind w:firstLineChars="200" w:firstLine="480"/>
        <w:rPr>
          <w:rFonts w:ascii="宋体" w:hAnsi="宋体"/>
          <w:kern w:val="0"/>
          <w:sz w:val="24"/>
        </w:rPr>
      </w:pPr>
      <w:r>
        <w:rPr>
          <w:rFonts w:ascii="宋体" w:hAnsi="宋体" w:hint="eastAsia"/>
          <w:kern w:val="0"/>
          <w:sz w:val="24"/>
        </w:rPr>
        <w:t>本次募集资金到位后，</w:t>
      </w:r>
      <w:r>
        <w:rPr>
          <w:rFonts w:hint="eastAsia"/>
          <w:sz w:val="24"/>
        </w:rPr>
        <w:t>公司的总资产及净资产将同时增加，营运资金得到进一步充实，资产负债率有所降低，有利于增强公司资金实力，优化资本结构，降低财务风险，为公司持续稳健发展奠定坚实基础。</w:t>
      </w:r>
    </w:p>
    <w:p w14:paraId="7901557B" w14:textId="77777777" w:rsidR="00D26039" w:rsidRDefault="00B30650">
      <w:pPr>
        <w:spacing w:beforeLines="50" w:before="156" w:afterLines="50" w:after="156" w:line="360" w:lineRule="auto"/>
        <w:ind w:firstLineChars="200" w:firstLine="480"/>
        <w:rPr>
          <w:rFonts w:ascii="宋体" w:hAnsi="宋体"/>
          <w:kern w:val="0"/>
          <w:sz w:val="24"/>
        </w:rPr>
      </w:pPr>
      <w:r>
        <w:rPr>
          <w:rFonts w:ascii="宋体" w:hAnsi="宋体" w:hint="eastAsia"/>
          <w:kern w:val="0"/>
          <w:sz w:val="24"/>
        </w:rPr>
        <w:t>本次发行的募集资金部分用于补充流动资金，将缓解公司营运资金紧张的局面，提高公司偿债能力、抗风险能力和公司资本实力，增强公司核心竞争力，实现公司可持续发展。</w:t>
      </w:r>
    </w:p>
    <w:p w14:paraId="43394552" w14:textId="77777777" w:rsidR="00D26039" w:rsidRDefault="00B30650">
      <w:pPr>
        <w:keepNext/>
        <w:keepLines/>
        <w:autoSpaceDE w:val="0"/>
        <w:spacing w:beforeLines="50" w:before="156" w:afterLines="50" w:after="156" w:line="360" w:lineRule="auto"/>
        <w:outlineLvl w:val="1"/>
        <w:rPr>
          <w:rFonts w:eastAsia="黑体"/>
          <w:b/>
          <w:bCs/>
          <w:kern w:val="0"/>
          <w:sz w:val="28"/>
          <w:szCs w:val="32"/>
        </w:rPr>
      </w:pPr>
      <w:bookmarkStart w:id="28" w:name="_Toc111905397"/>
      <w:r>
        <w:rPr>
          <w:rFonts w:eastAsia="黑体"/>
          <w:b/>
          <w:bCs/>
          <w:kern w:val="0"/>
          <w:sz w:val="28"/>
          <w:szCs w:val="32"/>
        </w:rPr>
        <w:t>三、发行对象及其与公司的关系</w:t>
      </w:r>
      <w:bookmarkEnd w:id="26"/>
      <w:bookmarkEnd w:id="27"/>
      <w:bookmarkEnd w:id="28"/>
    </w:p>
    <w:p w14:paraId="07253B86" w14:textId="77777777" w:rsidR="00D26039" w:rsidRDefault="00B30650">
      <w:pPr>
        <w:spacing w:beforeLines="50" w:before="156" w:afterLines="50" w:after="156" w:line="360" w:lineRule="auto"/>
        <w:ind w:firstLineChars="200" w:firstLine="480"/>
        <w:rPr>
          <w:rFonts w:ascii="宋体" w:hAnsi="宋体"/>
          <w:sz w:val="24"/>
        </w:rPr>
      </w:pPr>
      <w:bookmarkStart w:id="29" w:name="_Toc512526894"/>
      <w:r>
        <w:rPr>
          <w:rFonts w:ascii="宋体" w:hAnsi="宋体" w:hint="eastAsia"/>
          <w:sz w:val="24"/>
        </w:rPr>
        <w:t>本次发行对象为包括控股股东大江投资在内的不超过三十五名</w:t>
      </w:r>
      <w:r>
        <w:rPr>
          <w:rFonts w:ascii="宋体" w:hAnsi="宋体" w:hint="eastAsia"/>
          <w:kern w:val="0"/>
          <w:sz w:val="24"/>
        </w:rPr>
        <w:t>（含）</w:t>
      </w:r>
      <w:r>
        <w:rPr>
          <w:rFonts w:ascii="宋体" w:hAnsi="宋体" w:hint="eastAsia"/>
          <w:sz w:val="24"/>
        </w:rPr>
        <w:t>特定对象。其中，大江投资拟认购股份总数不低于本次非公开发行总股数的</w:t>
      </w:r>
      <w:r>
        <w:rPr>
          <w:rFonts w:hint="eastAsia"/>
          <w:sz w:val="24"/>
        </w:rPr>
        <w:t>20</w:t>
      </w:r>
      <w:r>
        <w:rPr>
          <w:rFonts w:ascii="宋体" w:hAnsi="宋体" w:hint="eastAsia"/>
          <w:sz w:val="24"/>
        </w:rPr>
        <w:t>%（含本数），且本次发行完成后持股比例不超过公司总股本的</w:t>
      </w:r>
      <w:r>
        <w:rPr>
          <w:rFonts w:hint="eastAsia"/>
          <w:sz w:val="24"/>
        </w:rPr>
        <w:t>30</w:t>
      </w:r>
      <w:r>
        <w:rPr>
          <w:rFonts w:ascii="宋体" w:hAnsi="宋体" w:hint="eastAsia"/>
          <w:sz w:val="24"/>
        </w:rPr>
        <w:t>%。除大江投资外，其他发行对象为包括符合规定条件的证券投资基金管理公司、证券公司、信托投资公司、财务公司、保险机构投资者、合格境外机构投资者以及法律法规规定可以购买人民币普通股（</w:t>
      </w:r>
      <w:r>
        <w:rPr>
          <w:rFonts w:hint="eastAsia"/>
          <w:sz w:val="24"/>
        </w:rPr>
        <w:t>A</w:t>
      </w:r>
      <w:r>
        <w:rPr>
          <w:rFonts w:ascii="宋体" w:hAnsi="宋体" w:hint="eastAsia"/>
          <w:sz w:val="24"/>
        </w:rPr>
        <w:t>股）股票的法人、自然人或其他投资者。证券投资基金管理公司、证券公司、合格境外机构投资者、人民币合格境外机构投资者以其管理的</w:t>
      </w:r>
      <w:r>
        <w:rPr>
          <w:rFonts w:hint="eastAsia"/>
          <w:sz w:val="24"/>
        </w:rPr>
        <w:t>2</w:t>
      </w:r>
      <w:r>
        <w:rPr>
          <w:rFonts w:ascii="宋体" w:hAnsi="宋体" w:hint="eastAsia"/>
          <w:sz w:val="24"/>
        </w:rPr>
        <w:t>只以上基金认购的，视为一个发行对象；信托投资公司作为发行对象的，只能以自有资金认购。</w:t>
      </w:r>
    </w:p>
    <w:p w14:paraId="3A694A43"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除大江投资以外的其他发行对象将在公司获得中国证监会关于本次发行的核准批文后，由公司董事会在股东大会的授权范围内，与保荐机构（主承销商）根据发行对象申购报价情况协商确定。</w:t>
      </w:r>
    </w:p>
    <w:p w14:paraId="7452CA39"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截至本预案公告日，大江投资持有公司</w:t>
      </w:r>
      <w:r>
        <w:rPr>
          <w:sz w:val="24"/>
        </w:rPr>
        <w:t>111</w:t>
      </w:r>
      <w:r>
        <w:rPr>
          <w:rFonts w:ascii="宋体" w:hAnsi="宋体"/>
          <w:sz w:val="24"/>
        </w:rPr>
        <w:t>,</w:t>
      </w:r>
      <w:r>
        <w:rPr>
          <w:sz w:val="24"/>
        </w:rPr>
        <w:t>705</w:t>
      </w:r>
      <w:r>
        <w:rPr>
          <w:rFonts w:ascii="宋体" w:hAnsi="宋体"/>
          <w:sz w:val="24"/>
        </w:rPr>
        <w:t>,</w:t>
      </w:r>
      <w:r>
        <w:rPr>
          <w:sz w:val="24"/>
        </w:rPr>
        <w:t>979</w:t>
      </w:r>
      <w:r>
        <w:rPr>
          <w:rFonts w:ascii="宋体" w:hAnsi="宋体" w:hint="eastAsia"/>
          <w:sz w:val="24"/>
        </w:rPr>
        <w:t>股股票，占公司总股本的</w:t>
      </w:r>
      <w:r>
        <w:rPr>
          <w:sz w:val="24"/>
        </w:rPr>
        <w:t>19</w:t>
      </w:r>
      <w:r>
        <w:rPr>
          <w:rFonts w:ascii="宋体" w:hAnsi="宋体"/>
          <w:sz w:val="24"/>
        </w:rPr>
        <w:t>.</w:t>
      </w:r>
      <w:r>
        <w:rPr>
          <w:sz w:val="24"/>
        </w:rPr>
        <w:t>79</w:t>
      </w:r>
      <w:r>
        <w:rPr>
          <w:rFonts w:ascii="宋体" w:hAnsi="宋体"/>
          <w:sz w:val="24"/>
        </w:rPr>
        <w:t>%</w:t>
      </w:r>
      <w:r>
        <w:rPr>
          <w:rFonts w:ascii="宋体" w:hAnsi="宋体" w:hint="eastAsia"/>
          <w:sz w:val="24"/>
        </w:rPr>
        <w:t>，为公司控股股东，大江投资认购本次非公开发行股票构成关联交易。</w:t>
      </w:r>
      <w:bookmarkEnd w:id="29"/>
    </w:p>
    <w:p w14:paraId="2724DD67" w14:textId="77777777" w:rsidR="00D26039" w:rsidRDefault="00B30650">
      <w:pPr>
        <w:keepNext/>
        <w:keepLines/>
        <w:autoSpaceDE w:val="0"/>
        <w:spacing w:beforeLines="50" w:before="156" w:afterLines="50" w:after="156" w:line="360" w:lineRule="auto"/>
        <w:outlineLvl w:val="1"/>
        <w:rPr>
          <w:rFonts w:eastAsia="黑体"/>
          <w:b/>
          <w:bCs/>
          <w:kern w:val="0"/>
          <w:sz w:val="28"/>
          <w:szCs w:val="32"/>
        </w:rPr>
      </w:pPr>
      <w:bookmarkStart w:id="30" w:name="_Toc111905398"/>
      <w:bookmarkEnd w:id="19"/>
      <w:r>
        <w:rPr>
          <w:rFonts w:eastAsia="黑体"/>
          <w:b/>
          <w:bCs/>
          <w:kern w:val="0"/>
          <w:sz w:val="28"/>
          <w:szCs w:val="32"/>
        </w:rPr>
        <w:lastRenderedPageBreak/>
        <w:t>四、</w:t>
      </w:r>
      <w:r>
        <w:rPr>
          <w:rFonts w:eastAsia="黑体" w:hint="eastAsia"/>
          <w:b/>
          <w:bCs/>
          <w:kern w:val="0"/>
          <w:sz w:val="28"/>
          <w:szCs w:val="32"/>
        </w:rPr>
        <w:t>本次非公开发行股票方案概要</w:t>
      </w:r>
      <w:bookmarkEnd w:id="30"/>
    </w:p>
    <w:p w14:paraId="43691AE2" w14:textId="77777777" w:rsidR="003261D3" w:rsidRPr="0034581F" w:rsidRDefault="003261D3" w:rsidP="003261D3">
      <w:pPr>
        <w:autoSpaceDE w:val="0"/>
        <w:spacing w:beforeLines="50" w:before="156" w:afterLines="50" w:after="156" w:line="360" w:lineRule="auto"/>
        <w:ind w:firstLineChars="200" w:firstLine="482"/>
        <w:rPr>
          <w:rFonts w:ascii="宋体" w:hAnsi="宋体"/>
          <w:sz w:val="24"/>
        </w:rPr>
      </w:pPr>
      <w:bookmarkStart w:id="31" w:name="_Toc111905399"/>
      <w:r w:rsidRPr="0034581F">
        <w:rPr>
          <w:rFonts w:eastAsia="黑体"/>
          <w:b/>
          <w:bCs/>
          <w:kern w:val="0"/>
          <w:sz w:val="24"/>
        </w:rPr>
        <w:t>（一）发行股票的种类和面值</w:t>
      </w:r>
    </w:p>
    <w:p w14:paraId="32392E10"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sz w:val="24"/>
        </w:rPr>
        <w:t>本次发行的股票种类为境内上市人民币普通股（</w:t>
      </w:r>
      <w:r w:rsidRPr="0034581F">
        <w:rPr>
          <w:rFonts w:hint="eastAsia"/>
          <w:sz w:val="24"/>
        </w:rPr>
        <w:t>A</w:t>
      </w:r>
      <w:r w:rsidRPr="0034581F">
        <w:rPr>
          <w:rFonts w:ascii="宋体" w:hAnsi="宋体"/>
          <w:sz w:val="24"/>
        </w:rPr>
        <w:t>股），每股面值为人民币</w:t>
      </w:r>
      <w:r w:rsidRPr="0034581F">
        <w:rPr>
          <w:sz w:val="24"/>
        </w:rPr>
        <w:t>1</w:t>
      </w:r>
      <w:r w:rsidRPr="0034581F">
        <w:rPr>
          <w:rFonts w:ascii="宋体" w:hAnsi="宋体"/>
          <w:sz w:val="24"/>
        </w:rPr>
        <w:t>.</w:t>
      </w:r>
      <w:r w:rsidRPr="0034581F">
        <w:rPr>
          <w:sz w:val="24"/>
        </w:rPr>
        <w:t>00</w:t>
      </w:r>
      <w:r w:rsidRPr="0034581F">
        <w:rPr>
          <w:rFonts w:ascii="宋体" w:hAnsi="宋体"/>
          <w:sz w:val="24"/>
        </w:rPr>
        <w:t>元。</w:t>
      </w:r>
    </w:p>
    <w:p w14:paraId="56A8ED1C" w14:textId="7C2F1B44" w:rsidR="003261D3" w:rsidRPr="0034581F"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（二）发行方式</w:t>
      </w:r>
      <w:r w:rsidRPr="0034581F">
        <w:rPr>
          <w:rFonts w:eastAsia="黑体" w:hint="eastAsia"/>
          <w:b/>
          <w:bCs/>
          <w:kern w:val="0"/>
          <w:sz w:val="24"/>
        </w:rPr>
        <w:t>和</w:t>
      </w:r>
      <w:r>
        <w:rPr>
          <w:rFonts w:eastAsia="黑体" w:hint="eastAsia"/>
          <w:b/>
          <w:bCs/>
          <w:kern w:val="0"/>
          <w:sz w:val="24"/>
        </w:rPr>
        <w:t>发行</w:t>
      </w:r>
      <w:r w:rsidRPr="0034581F">
        <w:rPr>
          <w:rFonts w:eastAsia="黑体" w:hint="eastAsia"/>
          <w:b/>
          <w:bCs/>
          <w:kern w:val="0"/>
          <w:sz w:val="24"/>
        </w:rPr>
        <w:t>时间</w:t>
      </w:r>
    </w:p>
    <w:p w14:paraId="299D2816" w14:textId="77777777" w:rsidR="003261D3"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hint="eastAsia"/>
          <w:sz w:val="24"/>
        </w:rPr>
        <w:t>本次发行采用非公开发行的方式，在获得中国证监会关于本次发行核准文件的有效期内选择适当时机实施。</w:t>
      </w:r>
    </w:p>
    <w:p w14:paraId="0D179076" w14:textId="77777777" w:rsidR="003261D3" w:rsidRPr="0034581F"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w:t>
      </w:r>
      <w:r>
        <w:rPr>
          <w:rFonts w:eastAsia="黑体" w:hint="eastAsia"/>
          <w:b/>
          <w:bCs/>
          <w:kern w:val="0"/>
          <w:sz w:val="24"/>
        </w:rPr>
        <w:t>三</w:t>
      </w:r>
      <w:r w:rsidRPr="0034581F">
        <w:rPr>
          <w:rFonts w:eastAsia="黑体"/>
          <w:b/>
          <w:bCs/>
          <w:kern w:val="0"/>
          <w:sz w:val="24"/>
        </w:rPr>
        <w:t>）</w:t>
      </w:r>
      <w:r w:rsidRPr="0034581F">
        <w:rPr>
          <w:rFonts w:eastAsia="黑体" w:hint="eastAsia"/>
          <w:b/>
          <w:bCs/>
          <w:kern w:val="0"/>
          <w:sz w:val="24"/>
        </w:rPr>
        <w:t>定价基准日、</w:t>
      </w:r>
      <w:r w:rsidRPr="0034581F">
        <w:rPr>
          <w:rFonts w:eastAsia="黑体"/>
          <w:b/>
          <w:bCs/>
          <w:kern w:val="0"/>
          <w:sz w:val="24"/>
        </w:rPr>
        <w:t>发行价格及定价原则</w:t>
      </w:r>
    </w:p>
    <w:p w14:paraId="5C0DC8BF" w14:textId="7F9B294E" w:rsidR="003261D3" w:rsidRPr="00471EB9" w:rsidRDefault="003261D3" w:rsidP="003261D3">
      <w:pPr>
        <w:autoSpaceDE w:val="0"/>
        <w:adjustRightInd w:val="0"/>
        <w:spacing w:beforeLines="50" w:before="156" w:after="50" w:line="360" w:lineRule="auto"/>
        <w:ind w:firstLineChars="200" w:firstLine="480"/>
        <w:rPr>
          <w:kern w:val="0"/>
          <w:sz w:val="24"/>
        </w:rPr>
      </w:pPr>
      <w:r w:rsidRPr="007D4737">
        <w:rPr>
          <w:rFonts w:hint="eastAsia"/>
          <w:kern w:val="0"/>
          <w:sz w:val="24"/>
        </w:rPr>
        <w:t>本次非公开发行的定价基准日为公司本次非公开发行的发行期首日，发行价格不低于定价基准日前</w:t>
      </w:r>
      <w:r w:rsidRPr="007D4737">
        <w:rPr>
          <w:kern w:val="0"/>
          <w:sz w:val="24"/>
        </w:rPr>
        <w:t>20</w:t>
      </w:r>
      <w:r w:rsidRPr="007D4737">
        <w:rPr>
          <w:rFonts w:hint="eastAsia"/>
          <w:kern w:val="0"/>
          <w:sz w:val="24"/>
        </w:rPr>
        <w:t>个交易日公司股票交易均价的</w:t>
      </w:r>
      <w:r w:rsidRPr="007D4737">
        <w:rPr>
          <w:kern w:val="0"/>
          <w:sz w:val="24"/>
        </w:rPr>
        <w:t>80%</w:t>
      </w:r>
      <w:r w:rsidRPr="007D4737">
        <w:rPr>
          <w:rFonts w:hint="eastAsia"/>
          <w:kern w:val="0"/>
          <w:sz w:val="24"/>
        </w:rPr>
        <w:t>。定价基准日前</w:t>
      </w:r>
      <w:r w:rsidRPr="007D4737">
        <w:rPr>
          <w:kern w:val="0"/>
          <w:sz w:val="24"/>
        </w:rPr>
        <w:t>20</w:t>
      </w:r>
      <w:r w:rsidRPr="007D4737">
        <w:rPr>
          <w:rFonts w:hint="eastAsia"/>
          <w:kern w:val="0"/>
          <w:sz w:val="24"/>
        </w:rPr>
        <w:t>个交易日公司股票交易均价</w:t>
      </w:r>
      <w:r w:rsidRPr="007D4737">
        <w:rPr>
          <w:kern w:val="0"/>
          <w:sz w:val="24"/>
        </w:rPr>
        <w:t>=</w:t>
      </w:r>
      <w:r w:rsidRPr="007D4737">
        <w:rPr>
          <w:rFonts w:hint="eastAsia"/>
          <w:kern w:val="0"/>
          <w:sz w:val="24"/>
        </w:rPr>
        <w:t>定价基准日前</w:t>
      </w:r>
      <w:r w:rsidRPr="007D4737">
        <w:rPr>
          <w:kern w:val="0"/>
          <w:sz w:val="24"/>
        </w:rPr>
        <w:t>20</w:t>
      </w:r>
      <w:r w:rsidRPr="007D4737">
        <w:rPr>
          <w:rFonts w:hint="eastAsia"/>
          <w:kern w:val="0"/>
          <w:sz w:val="24"/>
        </w:rPr>
        <w:t>个交易日公司</w:t>
      </w:r>
      <w:r w:rsidRPr="007D4737">
        <w:rPr>
          <w:kern w:val="0"/>
          <w:sz w:val="24"/>
        </w:rPr>
        <w:t>A</w:t>
      </w:r>
      <w:r w:rsidRPr="007D4737">
        <w:rPr>
          <w:rFonts w:hint="eastAsia"/>
          <w:kern w:val="0"/>
          <w:sz w:val="24"/>
        </w:rPr>
        <w:t>股股票交易总额</w:t>
      </w:r>
      <w:r w:rsidRPr="007D4737">
        <w:rPr>
          <w:kern w:val="0"/>
          <w:sz w:val="24"/>
        </w:rPr>
        <w:t>/</w:t>
      </w:r>
      <w:r w:rsidRPr="007D4737">
        <w:rPr>
          <w:rFonts w:hint="eastAsia"/>
          <w:kern w:val="0"/>
          <w:sz w:val="24"/>
        </w:rPr>
        <w:t>定价基准日前</w:t>
      </w:r>
      <w:r w:rsidRPr="007D4737">
        <w:rPr>
          <w:kern w:val="0"/>
          <w:sz w:val="24"/>
        </w:rPr>
        <w:t>20</w:t>
      </w:r>
      <w:r w:rsidRPr="007D4737">
        <w:rPr>
          <w:rFonts w:hint="eastAsia"/>
          <w:kern w:val="0"/>
          <w:sz w:val="24"/>
        </w:rPr>
        <w:t>个交易日公司</w:t>
      </w:r>
      <w:r w:rsidRPr="007D4737">
        <w:rPr>
          <w:kern w:val="0"/>
          <w:sz w:val="24"/>
        </w:rPr>
        <w:t>A</w:t>
      </w:r>
      <w:r w:rsidRPr="007D4737">
        <w:rPr>
          <w:rFonts w:hint="eastAsia"/>
          <w:kern w:val="0"/>
          <w:sz w:val="24"/>
        </w:rPr>
        <w:t>股股票交易总量。若在该</w:t>
      </w:r>
      <w:r w:rsidRPr="007D4737">
        <w:rPr>
          <w:kern w:val="0"/>
          <w:sz w:val="24"/>
        </w:rPr>
        <w:t>20</w:t>
      </w:r>
      <w:r w:rsidRPr="007D4737">
        <w:rPr>
          <w:rFonts w:hint="eastAsia"/>
          <w:kern w:val="0"/>
          <w:sz w:val="24"/>
        </w:rPr>
        <w:t>个交易日内公司发生因派息、送股、资本公积转增股本等除权、除息事项引起股价调整的情形，则对调整前交易日的交易价格</w:t>
      </w:r>
      <w:proofErr w:type="gramStart"/>
      <w:r w:rsidRPr="007D4737">
        <w:rPr>
          <w:rFonts w:hint="eastAsia"/>
          <w:kern w:val="0"/>
          <w:sz w:val="24"/>
        </w:rPr>
        <w:t>按经过</w:t>
      </w:r>
      <w:proofErr w:type="gramEnd"/>
      <w:r w:rsidRPr="007D4737">
        <w:rPr>
          <w:rFonts w:hint="eastAsia"/>
          <w:kern w:val="0"/>
          <w:sz w:val="24"/>
        </w:rPr>
        <w:t>相应除权、除息调整后的价格计算。</w:t>
      </w:r>
    </w:p>
    <w:p w14:paraId="17DB24FA" w14:textId="77777777" w:rsidR="003261D3" w:rsidRPr="008D5855" w:rsidRDefault="003261D3" w:rsidP="003261D3">
      <w:pPr>
        <w:autoSpaceDE w:val="0"/>
        <w:adjustRightInd w:val="0"/>
        <w:spacing w:beforeLines="50" w:before="156" w:afterLines="50" w:after="156" w:line="360" w:lineRule="auto"/>
        <w:ind w:firstLineChars="200" w:firstLine="480"/>
        <w:rPr>
          <w:kern w:val="0"/>
          <w:sz w:val="24"/>
        </w:rPr>
      </w:pPr>
      <w:r w:rsidRPr="00471EB9">
        <w:rPr>
          <w:rFonts w:hint="eastAsia"/>
          <w:kern w:val="0"/>
          <w:sz w:val="24"/>
        </w:rPr>
        <w:t>若公司股票在定价基准日至发行日期间发生派息、送股、资本公积转增股本等除权、除息事项，则</w:t>
      </w:r>
      <w:r>
        <w:rPr>
          <w:rFonts w:hint="eastAsia"/>
          <w:kern w:val="0"/>
          <w:sz w:val="24"/>
        </w:rPr>
        <w:t>前述发行底价</w:t>
      </w:r>
      <w:r w:rsidRPr="00471EB9">
        <w:rPr>
          <w:rFonts w:hint="eastAsia"/>
          <w:kern w:val="0"/>
          <w:sz w:val="24"/>
        </w:rPr>
        <w:t>应进行</w:t>
      </w:r>
      <w:r>
        <w:rPr>
          <w:rFonts w:hint="eastAsia"/>
          <w:kern w:val="0"/>
          <w:sz w:val="24"/>
        </w:rPr>
        <w:t>相应调整</w:t>
      </w:r>
      <w:r w:rsidRPr="00471EB9">
        <w:rPr>
          <w:rFonts w:hint="eastAsia"/>
          <w:kern w:val="0"/>
          <w:sz w:val="24"/>
        </w:rPr>
        <w:t>。</w:t>
      </w:r>
      <w:r w:rsidRPr="008D5855">
        <w:rPr>
          <w:rFonts w:hint="eastAsia"/>
          <w:kern w:val="0"/>
          <w:sz w:val="24"/>
        </w:rPr>
        <w:t>调整方式如下：</w:t>
      </w:r>
    </w:p>
    <w:p w14:paraId="4D263946" w14:textId="77777777" w:rsidR="003261D3" w:rsidRPr="008D5855" w:rsidRDefault="003261D3" w:rsidP="003261D3">
      <w:pPr>
        <w:autoSpaceDE w:val="0"/>
        <w:adjustRightInd w:val="0"/>
        <w:spacing w:beforeLines="50" w:before="156" w:afterLines="50" w:after="156" w:line="360" w:lineRule="auto"/>
        <w:ind w:firstLineChars="200" w:firstLine="480"/>
        <w:rPr>
          <w:kern w:val="0"/>
          <w:sz w:val="24"/>
        </w:rPr>
      </w:pPr>
      <w:r w:rsidRPr="008D5855">
        <w:rPr>
          <w:rFonts w:hint="eastAsia"/>
          <w:kern w:val="0"/>
          <w:sz w:val="24"/>
        </w:rPr>
        <w:t>现金分红：</w:t>
      </w:r>
      <w:r w:rsidRPr="008D5855">
        <w:rPr>
          <w:kern w:val="0"/>
          <w:sz w:val="24"/>
        </w:rPr>
        <w:t>P1=P0-D</w:t>
      </w:r>
    </w:p>
    <w:p w14:paraId="4E7023F2" w14:textId="77777777" w:rsidR="003261D3" w:rsidRPr="008D5855" w:rsidRDefault="003261D3" w:rsidP="003261D3">
      <w:pPr>
        <w:autoSpaceDE w:val="0"/>
        <w:adjustRightInd w:val="0"/>
        <w:spacing w:beforeLines="50" w:before="156" w:afterLines="50" w:after="156" w:line="360" w:lineRule="auto"/>
        <w:ind w:firstLineChars="200" w:firstLine="480"/>
        <w:rPr>
          <w:kern w:val="0"/>
          <w:sz w:val="24"/>
        </w:rPr>
      </w:pPr>
      <w:r w:rsidRPr="008D5855">
        <w:rPr>
          <w:rFonts w:hint="eastAsia"/>
          <w:kern w:val="0"/>
          <w:sz w:val="24"/>
        </w:rPr>
        <w:t>送股或资本公积金转增股本：</w:t>
      </w:r>
      <w:r w:rsidRPr="008D5855">
        <w:rPr>
          <w:kern w:val="0"/>
          <w:sz w:val="24"/>
        </w:rPr>
        <w:t>P1=P0/(1+N)</w:t>
      </w:r>
    </w:p>
    <w:p w14:paraId="3F1FDBDF" w14:textId="77777777" w:rsidR="003261D3" w:rsidRPr="008D5855" w:rsidRDefault="003261D3" w:rsidP="003261D3">
      <w:pPr>
        <w:autoSpaceDE w:val="0"/>
        <w:adjustRightInd w:val="0"/>
        <w:spacing w:beforeLines="50" w:before="156" w:afterLines="50" w:after="156" w:line="360" w:lineRule="auto"/>
        <w:ind w:firstLineChars="200" w:firstLine="480"/>
        <w:rPr>
          <w:kern w:val="0"/>
          <w:sz w:val="24"/>
        </w:rPr>
      </w:pPr>
      <w:r w:rsidRPr="008D5855">
        <w:rPr>
          <w:rFonts w:hint="eastAsia"/>
          <w:kern w:val="0"/>
          <w:sz w:val="24"/>
        </w:rPr>
        <w:t>现金分红同时送股或资本公积金转增股本：</w:t>
      </w:r>
      <w:r w:rsidRPr="008D5855">
        <w:rPr>
          <w:kern w:val="0"/>
          <w:sz w:val="24"/>
        </w:rPr>
        <w:t>P1=(P0-D)/(1+N)</w:t>
      </w:r>
    </w:p>
    <w:p w14:paraId="4442D580" w14:textId="77777777" w:rsidR="003261D3" w:rsidRDefault="003261D3" w:rsidP="003261D3">
      <w:pPr>
        <w:autoSpaceDE w:val="0"/>
        <w:adjustRightInd w:val="0"/>
        <w:spacing w:beforeLines="50" w:before="156" w:afterLines="50" w:after="156" w:line="360" w:lineRule="auto"/>
        <w:ind w:firstLineChars="200" w:firstLine="480"/>
        <w:rPr>
          <w:kern w:val="0"/>
          <w:sz w:val="24"/>
        </w:rPr>
      </w:pPr>
      <w:r w:rsidRPr="008D5855">
        <w:rPr>
          <w:rFonts w:hint="eastAsia"/>
          <w:kern w:val="0"/>
          <w:sz w:val="24"/>
        </w:rPr>
        <w:t>其中，</w:t>
      </w:r>
      <w:r w:rsidRPr="008D5855">
        <w:rPr>
          <w:kern w:val="0"/>
          <w:sz w:val="24"/>
        </w:rPr>
        <w:t>P0</w:t>
      </w:r>
      <w:r w:rsidRPr="008D5855">
        <w:rPr>
          <w:rFonts w:hint="eastAsia"/>
          <w:kern w:val="0"/>
          <w:sz w:val="24"/>
        </w:rPr>
        <w:t>为调整前发行价格，</w:t>
      </w:r>
      <w:r w:rsidRPr="008D5855">
        <w:rPr>
          <w:kern w:val="0"/>
          <w:sz w:val="24"/>
        </w:rPr>
        <w:t>D</w:t>
      </w:r>
      <w:r w:rsidRPr="008D5855">
        <w:rPr>
          <w:rFonts w:hint="eastAsia"/>
          <w:kern w:val="0"/>
          <w:sz w:val="24"/>
        </w:rPr>
        <w:t>为每股派发现金分红，</w:t>
      </w:r>
      <w:r w:rsidRPr="008D5855">
        <w:rPr>
          <w:kern w:val="0"/>
          <w:sz w:val="24"/>
        </w:rPr>
        <w:t>N</w:t>
      </w:r>
      <w:r w:rsidRPr="008D5855">
        <w:rPr>
          <w:rFonts w:hint="eastAsia"/>
          <w:kern w:val="0"/>
          <w:sz w:val="24"/>
        </w:rPr>
        <w:t>为每股送股或资本公积金转增股本，调整后发行价格为</w:t>
      </w:r>
      <w:r w:rsidRPr="008D5855">
        <w:rPr>
          <w:kern w:val="0"/>
          <w:sz w:val="24"/>
        </w:rPr>
        <w:t>P1</w:t>
      </w:r>
      <w:r w:rsidRPr="008D5855">
        <w:rPr>
          <w:rFonts w:hint="eastAsia"/>
          <w:kern w:val="0"/>
          <w:sz w:val="24"/>
        </w:rPr>
        <w:t>。</w:t>
      </w:r>
    </w:p>
    <w:p w14:paraId="53056105" w14:textId="77777777" w:rsidR="003261D3" w:rsidRPr="00AE1F22" w:rsidRDefault="003261D3" w:rsidP="003261D3">
      <w:pPr>
        <w:autoSpaceDE w:val="0"/>
        <w:adjustRightInd w:val="0"/>
        <w:spacing w:beforeLines="50" w:before="156" w:afterLines="50" w:after="156" w:line="360" w:lineRule="auto"/>
        <w:ind w:firstLineChars="200" w:firstLine="480"/>
        <w:rPr>
          <w:kern w:val="0"/>
          <w:sz w:val="24"/>
        </w:rPr>
      </w:pPr>
      <w:r w:rsidRPr="00471EB9">
        <w:rPr>
          <w:rFonts w:hint="eastAsia"/>
          <w:kern w:val="0"/>
          <w:sz w:val="24"/>
        </w:rPr>
        <w:t>本次发行申请取得中国证监会核准批文后，最终发行价格将根据投资者申购报价情况，</w:t>
      </w:r>
      <w:r w:rsidRPr="00262EB6">
        <w:rPr>
          <w:rFonts w:hint="eastAsia"/>
          <w:kern w:val="0"/>
          <w:sz w:val="24"/>
        </w:rPr>
        <w:t>由公司董事会在股东大会的授权范围内，与本次发行的保荐机构（主承销商）协商确定</w:t>
      </w:r>
      <w:r w:rsidRPr="00471EB9">
        <w:rPr>
          <w:rFonts w:hint="eastAsia"/>
          <w:kern w:val="0"/>
          <w:sz w:val="24"/>
        </w:rPr>
        <w:t>。大江投资不参与本次发行的市场竞价过程，同意竞价结果并以与其他投资者相同的价格认购本次发行的股份。若本次非公开发行没有通过竞</w:t>
      </w:r>
      <w:r w:rsidRPr="00471EB9">
        <w:rPr>
          <w:rFonts w:hint="eastAsia"/>
          <w:kern w:val="0"/>
          <w:sz w:val="24"/>
        </w:rPr>
        <w:lastRenderedPageBreak/>
        <w:t>价方式产生发行价格，大江投资将继续参与认购，并以本次发行底价（定价基准日前</w:t>
      </w:r>
      <w:r w:rsidRPr="00BC7CC3">
        <w:rPr>
          <w:rFonts w:hint="eastAsia"/>
          <w:kern w:val="0"/>
          <w:sz w:val="24"/>
        </w:rPr>
        <w:t>20</w:t>
      </w:r>
      <w:r w:rsidRPr="00471EB9">
        <w:rPr>
          <w:rFonts w:hint="eastAsia"/>
          <w:kern w:val="0"/>
          <w:sz w:val="24"/>
        </w:rPr>
        <w:t>个交易日公司股票交易均价的</w:t>
      </w:r>
      <w:r w:rsidRPr="00BC7CC3">
        <w:rPr>
          <w:rFonts w:hint="eastAsia"/>
          <w:kern w:val="0"/>
          <w:sz w:val="24"/>
        </w:rPr>
        <w:t>80</w:t>
      </w:r>
      <w:r w:rsidRPr="00471EB9">
        <w:rPr>
          <w:rFonts w:hint="eastAsia"/>
          <w:kern w:val="0"/>
          <w:sz w:val="24"/>
        </w:rPr>
        <w:t>%</w:t>
      </w:r>
      <w:r w:rsidRPr="00471EB9">
        <w:rPr>
          <w:rFonts w:hint="eastAsia"/>
          <w:kern w:val="0"/>
          <w:sz w:val="24"/>
        </w:rPr>
        <w:t>）作为认购价格。</w:t>
      </w:r>
    </w:p>
    <w:p w14:paraId="1067EEA3" w14:textId="77777777" w:rsidR="003261D3" w:rsidRPr="0034581F"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w:t>
      </w:r>
      <w:r>
        <w:rPr>
          <w:rFonts w:eastAsia="黑体" w:hint="eastAsia"/>
          <w:b/>
          <w:bCs/>
          <w:kern w:val="0"/>
          <w:sz w:val="24"/>
        </w:rPr>
        <w:t>四</w:t>
      </w:r>
      <w:r w:rsidRPr="0034581F">
        <w:rPr>
          <w:rFonts w:eastAsia="黑体"/>
          <w:b/>
          <w:bCs/>
          <w:kern w:val="0"/>
          <w:sz w:val="24"/>
        </w:rPr>
        <w:t>）</w:t>
      </w:r>
      <w:r>
        <w:rPr>
          <w:rFonts w:eastAsia="黑体" w:hint="eastAsia"/>
          <w:b/>
          <w:bCs/>
          <w:kern w:val="0"/>
          <w:sz w:val="24"/>
        </w:rPr>
        <w:t>发行对象及</w:t>
      </w:r>
      <w:r w:rsidRPr="0034581F">
        <w:rPr>
          <w:rFonts w:eastAsia="黑体" w:hint="eastAsia"/>
          <w:b/>
          <w:bCs/>
          <w:kern w:val="0"/>
          <w:sz w:val="24"/>
        </w:rPr>
        <w:t>认购方式</w:t>
      </w:r>
    </w:p>
    <w:p w14:paraId="7E3A9351"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hint="eastAsia"/>
          <w:sz w:val="24"/>
        </w:rPr>
        <w:t>本次发行对象为包括控股股东大江投资在内的不超过三十五名（含）特定对象。其中，大江投资拟以现金方式认购股份总数不低于本次非公开发行总股数的</w:t>
      </w:r>
      <w:r w:rsidRPr="0034581F">
        <w:rPr>
          <w:sz w:val="24"/>
        </w:rPr>
        <w:t>20</w:t>
      </w:r>
      <w:r w:rsidRPr="0034581F">
        <w:rPr>
          <w:rFonts w:ascii="宋体" w:hAnsi="宋体"/>
          <w:sz w:val="24"/>
        </w:rPr>
        <w:t>%</w:t>
      </w:r>
      <w:r w:rsidRPr="0034581F">
        <w:rPr>
          <w:rFonts w:ascii="宋体" w:hAnsi="宋体" w:hint="eastAsia"/>
          <w:sz w:val="24"/>
        </w:rPr>
        <w:t>（含本数），且本次发行完成后持股比例不超过公司总股本的</w:t>
      </w:r>
      <w:r w:rsidRPr="0034581F">
        <w:rPr>
          <w:rFonts w:hint="eastAsia"/>
          <w:sz w:val="24"/>
        </w:rPr>
        <w:t>30</w:t>
      </w:r>
      <w:r w:rsidRPr="0034581F">
        <w:rPr>
          <w:rFonts w:ascii="宋体" w:hAnsi="宋体" w:hint="eastAsia"/>
          <w:sz w:val="24"/>
        </w:rPr>
        <w:t>%，其余股份由其他发行对象以现金方式认购。大江投资不参与本次发行的市场竞价过程，同意竞价结果并以与其他投资者相同的价格认购本次发行的股份。</w:t>
      </w:r>
    </w:p>
    <w:p w14:paraId="28327BCB"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hint="eastAsia"/>
          <w:sz w:val="24"/>
        </w:rPr>
        <w:t>除大江投资外，其他发行对象为包括符合规定条件的证券投资基金管理公司、证券公司、信托投资公司、财务公司、保险机构投资者、合格境外机构投资者以及法律法规规定可以购买人民币普通股（</w:t>
      </w:r>
      <w:r w:rsidRPr="0034581F">
        <w:rPr>
          <w:rFonts w:hint="eastAsia"/>
          <w:sz w:val="24"/>
        </w:rPr>
        <w:t>A</w:t>
      </w:r>
      <w:r w:rsidRPr="0034581F">
        <w:rPr>
          <w:rFonts w:ascii="宋体" w:hAnsi="宋体" w:hint="eastAsia"/>
          <w:sz w:val="24"/>
        </w:rPr>
        <w:t>股）股票的法人、自然人或其他投资者。证券投资基金管理公司、证券公司、合格境外机构投资者、人民币合格境外机构投资者以其管理的</w:t>
      </w:r>
      <w:r w:rsidRPr="0034581F">
        <w:rPr>
          <w:rFonts w:hint="eastAsia"/>
          <w:sz w:val="24"/>
        </w:rPr>
        <w:t>2</w:t>
      </w:r>
      <w:r w:rsidRPr="0034581F">
        <w:rPr>
          <w:rFonts w:ascii="宋体" w:hAnsi="宋体" w:hint="eastAsia"/>
          <w:sz w:val="24"/>
        </w:rPr>
        <w:t>只以上基金认购的，视为一个发行对象；信托投资公司作为发行对象的，只能以自有资金认购。</w:t>
      </w:r>
    </w:p>
    <w:p w14:paraId="33C3EDD8"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hint="eastAsia"/>
          <w:sz w:val="24"/>
        </w:rPr>
        <w:t>除大江投资以外的其他发行对象将在公司获得中国证监会关于本次发行的核准批文后，由公司董事会在股东大会的授权范围内，与保荐机构（主承销商）根据发行对象申购报价情况协商确定。</w:t>
      </w:r>
    </w:p>
    <w:p w14:paraId="7E883BCD"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hint="eastAsia"/>
          <w:sz w:val="24"/>
        </w:rPr>
        <w:t>所有发行对象均以现金方式认购本次非公开发行的股票。</w:t>
      </w:r>
    </w:p>
    <w:p w14:paraId="4B6B1A7D" w14:textId="77777777" w:rsidR="003261D3" w:rsidRPr="0034581F"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w:t>
      </w:r>
      <w:r w:rsidRPr="0034581F">
        <w:rPr>
          <w:rFonts w:eastAsia="黑体" w:hint="eastAsia"/>
          <w:b/>
          <w:bCs/>
          <w:kern w:val="0"/>
          <w:sz w:val="24"/>
        </w:rPr>
        <w:t>五</w:t>
      </w:r>
      <w:r w:rsidRPr="0034581F">
        <w:rPr>
          <w:rFonts w:eastAsia="黑体"/>
          <w:b/>
          <w:bCs/>
          <w:kern w:val="0"/>
          <w:sz w:val="24"/>
        </w:rPr>
        <w:t>）发行数量</w:t>
      </w:r>
    </w:p>
    <w:p w14:paraId="66E4005B" w14:textId="77777777" w:rsidR="003261D3" w:rsidRPr="0034581F" w:rsidRDefault="003261D3" w:rsidP="003261D3">
      <w:pPr>
        <w:spacing w:beforeLines="50" w:before="156" w:afterLines="50" w:after="156" w:line="360" w:lineRule="auto"/>
        <w:ind w:firstLineChars="200" w:firstLine="480"/>
        <w:rPr>
          <w:rFonts w:ascii="宋体" w:hAnsi="宋体"/>
          <w:sz w:val="24"/>
        </w:rPr>
      </w:pPr>
      <w:bookmarkStart w:id="32" w:name="_Hlk69650123"/>
      <w:r w:rsidRPr="0034581F">
        <w:rPr>
          <w:rFonts w:ascii="宋体" w:hAnsi="宋体"/>
          <w:sz w:val="24"/>
        </w:rPr>
        <w:t>本次非公开发行股票数量不超过</w:t>
      </w:r>
      <w:r w:rsidRPr="0034581F">
        <w:rPr>
          <w:rFonts w:ascii="宋体" w:hAnsi="宋体" w:hint="eastAsia"/>
          <w:sz w:val="24"/>
        </w:rPr>
        <w:t>发行前公司总股本的</w:t>
      </w:r>
      <w:r w:rsidRPr="0034581F">
        <w:rPr>
          <w:rFonts w:hint="eastAsia"/>
          <w:sz w:val="24"/>
        </w:rPr>
        <w:t>30</w:t>
      </w:r>
      <w:r w:rsidRPr="0034581F">
        <w:rPr>
          <w:rFonts w:ascii="宋体" w:hAnsi="宋体" w:hint="eastAsia"/>
          <w:sz w:val="24"/>
        </w:rPr>
        <w:t>%，即不超过</w:t>
      </w:r>
      <w:r w:rsidRPr="0034581F">
        <w:rPr>
          <w:rFonts w:hint="eastAsia"/>
          <w:sz w:val="24"/>
        </w:rPr>
        <w:t>169</w:t>
      </w:r>
      <w:r w:rsidRPr="0034581F">
        <w:rPr>
          <w:rFonts w:ascii="宋体" w:hAnsi="宋体" w:hint="eastAsia"/>
          <w:sz w:val="24"/>
        </w:rPr>
        <w:t>,</w:t>
      </w:r>
      <w:r w:rsidRPr="0034581F">
        <w:rPr>
          <w:rFonts w:hint="eastAsia"/>
          <w:sz w:val="24"/>
        </w:rPr>
        <w:t>310</w:t>
      </w:r>
      <w:r w:rsidRPr="0034581F">
        <w:rPr>
          <w:rFonts w:ascii="宋体" w:hAnsi="宋体" w:hint="eastAsia"/>
          <w:sz w:val="24"/>
        </w:rPr>
        <w:t>,</w:t>
      </w:r>
      <w:r w:rsidRPr="0034581F">
        <w:rPr>
          <w:rFonts w:hint="eastAsia"/>
          <w:sz w:val="24"/>
        </w:rPr>
        <w:t>869</w:t>
      </w:r>
      <w:r w:rsidRPr="0034581F">
        <w:rPr>
          <w:rFonts w:ascii="宋体" w:hAnsi="宋体" w:hint="eastAsia"/>
          <w:sz w:val="24"/>
        </w:rPr>
        <w:t>股（含本数），本次发行中，大江投资拟以现金方式认购股份总数不低于本次非公开发行总股数的</w:t>
      </w:r>
      <w:r w:rsidRPr="0034581F">
        <w:rPr>
          <w:rFonts w:hint="eastAsia"/>
          <w:sz w:val="24"/>
        </w:rPr>
        <w:t>20</w:t>
      </w:r>
      <w:r w:rsidRPr="0034581F">
        <w:rPr>
          <w:rFonts w:ascii="宋体" w:hAnsi="宋体" w:hint="eastAsia"/>
          <w:sz w:val="24"/>
        </w:rPr>
        <w:t>%（含本数），且本次发行完成后持股比例不超过公司总股本的</w:t>
      </w:r>
      <w:r w:rsidRPr="0034581F">
        <w:rPr>
          <w:rFonts w:hint="eastAsia"/>
          <w:sz w:val="24"/>
        </w:rPr>
        <w:t>30</w:t>
      </w:r>
      <w:r w:rsidRPr="0034581F">
        <w:rPr>
          <w:rFonts w:ascii="宋体" w:hAnsi="宋体" w:hint="eastAsia"/>
          <w:sz w:val="24"/>
        </w:rPr>
        <w:t>%。</w:t>
      </w:r>
    </w:p>
    <w:bookmarkEnd w:id="32"/>
    <w:p w14:paraId="53EE7FD2" w14:textId="77777777" w:rsidR="003261D3"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hint="eastAsia"/>
          <w:sz w:val="24"/>
        </w:rPr>
        <w:t>若公司股票在定价基准日至发行日期间发生现金分红、送股、资本公积金转增股本等除权、除息事项，本次非公开发行股票数量将作相应调整。最终发行数量将在公司取得中国证监会关于本次发行核准批文后，根据发行对象申购报价的情况，由公司董事会根据股东大会的授权与保荐机构（主承销商）协商确定最终</w:t>
      </w:r>
      <w:r w:rsidRPr="0034581F">
        <w:rPr>
          <w:rFonts w:ascii="宋体" w:hAnsi="宋体" w:hint="eastAsia"/>
          <w:sz w:val="24"/>
        </w:rPr>
        <w:lastRenderedPageBreak/>
        <w:t>的发行数量。</w:t>
      </w:r>
    </w:p>
    <w:p w14:paraId="7FAA702E" w14:textId="77777777" w:rsidR="003261D3" w:rsidRPr="00AE1F22"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w:t>
      </w:r>
      <w:r>
        <w:rPr>
          <w:rFonts w:eastAsia="黑体" w:hint="eastAsia"/>
          <w:b/>
          <w:bCs/>
          <w:kern w:val="0"/>
          <w:sz w:val="24"/>
        </w:rPr>
        <w:t>六</w:t>
      </w:r>
      <w:r>
        <w:rPr>
          <w:rFonts w:eastAsia="黑体"/>
          <w:b/>
          <w:bCs/>
          <w:kern w:val="0"/>
          <w:sz w:val="24"/>
        </w:rPr>
        <w:t>）</w:t>
      </w:r>
      <w:r>
        <w:rPr>
          <w:rFonts w:eastAsia="黑体" w:hint="eastAsia"/>
          <w:b/>
          <w:bCs/>
          <w:kern w:val="0"/>
          <w:sz w:val="24"/>
        </w:rPr>
        <w:t>募集资金用途</w:t>
      </w:r>
    </w:p>
    <w:p w14:paraId="46A78EEB" w14:textId="77777777" w:rsidR="005F4D30" w:rsidRDefault="005F4D30" w:rsidP="005F4D30">
      <w:pPr>
        <w:autoSpaceDE w:val="0"/>
        <w:adjustRightInd w:val="0"/>
        <w:spacing w:beforeLines="50" w:before="156" w:afterLines="50" w:after="156" w:line="360" w:lineRule="auto"/>
        <w:ind w:firstLineChars="200" w:firstLine="480"/>
        <w:rPr>
          <w:kern w:val="0"/>
          <w:sz w:val="24"/>
        </w:rPr>
      </w:pPr>
      <w:r>
        <w:rPr>
          <w:kern w:val="0"/>
          <w:sz w:val="24"/>
        </w:rPr>
        <w:t>本次非公开发行募集资金总额</w:t>
      </w:r>
      <w:r>
        <w:rPr>
          <w:rFonts w:hint="eastAsia"/>
          <w:kern w:val="0"/>
          <w:sz w:val="24"/>
        </w:rPr>
        <w:t>不超过</w:t>
      </w:r>
      <w:r>
        <w:rPr>
          <w:kern w:val="0"/>
          <w:sz w:val="24"/>
        </w:rPr>
        <w:t>4</w:t>
      </w:r>
      <w:r>
        <w:rPr>
          <w:rFonts w:hint="eastAsia"/>
          <w:kern w:val="0"/>
          <w:sz w:val="24"/>
        </w:rPr>
        <w:t>0,</w:t>
      </w:r>
      <w:r>
        <w:rPr>
          <w:kern w:val="0"/>
          <w:sz w:val="24"/>
        </w:rPr>
        <w:t>000.00</w:t>
      </w:r>
      <w:r>
        <w:rPr>
          <w:rFonts w:hint="eastAsia"/>
          <w:kern w:val="0"/>
          <w:sz w:val="24"/>
        </w:rPr>
        <w:t>万元（含本数）</w:t>
      </w:r>
      <w:r>
        <w:rPr>
          <w:kern w:val="0"/>
          <w:sz w:val="24"/>
        </w:rPr>
        <w:t>，</w:t>
      </w:r>
      <w:r>
        <w:rPr>
          <w:rFonts w:hint="eastAsia"/>
          <w:kern w:val="0"/>
          <w:sz w:val="24"/>
        </w:rPr>
        <w:t>扣除相关发行费用后的募集资金净额将全部投资于以下项目：</w:t>
      </w:r>
    </w:p>
    <w:p w14:paraId="2522BA9E" w14:textId="77777777" w:rsidR="005F4D30" w:rsidRDefault="005F4D30" w:rsidP="005F4D30">
      <w:pPr>
        <w:ind w:firstLineChars="200" w:firstLine="420"/>
        <w:jc w:val="right"/>
        <w:rPr>
          <w:rFonts w:ascii="宋体" w:hAnsi="宋体"/>
          <w:color w:val="000000"/>
          <w:szCs w:val="21"/>
        </w:rPr>
      </w:pPr>
      <w:r>
        <w:rPr>
          <w:rFonts w:ascii="宋体" w:hAnsi="宋体" w:hint="eastAsia"/>
          <w:color w:val="000000"/>
          <w:szCs w:val="21"/>
        </w:rPr>
        <w:t>单位：万元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48"/>
        <w:gridCol w:w="4038"/>
        <w:gridCol w:w="1842"/>
        <w:gridCol w:w="1894"/>
      </w:tblGrid>
      <w:tr w:rsidR="005F4D30" w14:paraId="4D68FAA3" w14:textId="77777777" w:rsidTr="000D3735">
        <w:trPr>
          <w:trHeight w:val="397"/>
          <w:jc w:val="center"/>
        </w:trPr>
        <w:tc>
          <w:tcPr>
            <w:tcW w:w="439" w:type="pct"/>
            <w:shd w:val="clear" w:color="auto" w:fill="auto"/>
            <w:vAlign w:val="center"/>
          </w:tcPr>
          <w:p w14:paraId="405E12CB" w14:textId="77777777" w:rsidR="005F4D30" w:rsidRDefault="005F4D30" w:rsidP="000D3735">
            <w:pPr>
              <w:widowControl/>
              <w:jc w:val="center"/>
              <w:rPr>
                <w:rFonts w:ascii="宋体" w:hAnsi="宋体" w:cs="Calibri"/>
                <w:b/>
                <w:bCs/>
                <w:kern w:val="0"/>
                <w:szCs w:val="21"/>
              </w:rPr>
            </w:pPr>
            <w:r>
              <w:rPr>
                <w:rFonts w:ascii="宋体" w:hAnsi="宋体" w:cs="Calibri" w:hint="eastAsia"/>
                <w:b/>
                <w:bCs/>
                <w:kern w:val="0"/>
                <w:szCs w:val="21"/>
              </w:rPr>
              <w:t>序号</w:t>
            </w:r>
          </w:p>
        </w:tc>
        <w:tc>
          <w:tcPr>
            <w:tcW w:w="2369" w:type="pct"/>
            <w:shd w:val="clear" w:color="auto" w:fill="auto"/>
            <w:vAlign w:val="center"/>
          </w:tcPr>
          <w:p w14:paraId="7403D5F3" w14:textId="77777777" w:rsidR="005F4D30" w:rsidRDefault="005F4D30" w:rsidP="000D3735">
            <w:pPr>
              <w:widowControl/>
              <w:jc w:val="center"/>
              <w:rPr>
                <w:b/>
                <w:bCs/>
                <w:kern w:val="0"/>
                <w:szCs w:val="21"/>
              </w:rPr>
            </w:pPr>
            <w:r>
              <w:rPr>
                <w:rFonts w:hint="eastAsia"/>
                <w:b/>
                <w:bCs/>
                <w:kern w:val="0"/>
                <w:szCs w:val="21"/>
              </w:rPr>
              <w:t>项目名称</w:t>
            </w:r>
          </w:p>
        </w:tc>
        <w:tc>
          <w:tcPr>
            <w:tcW w:w="1081" w:type="pct"/>
            <w:shd w:val="clear" w:color="auto" w:fill="auto"/>
            <w:vAlign w:val="center"/>
          </w:tcPr>
          <w:p w14:paraId="5233D42C" w14:textId="77777777" w:rsidR="005F4D30" w:rsidRDefault="005F4D30" w:rsidP="000D3735">
            <w:pPr>
              <w:widowControl/>
              <w:jc w:val="center"/>
              <w:rPr>
                <w:b/>
                <w:bCs/>
                <w:kern w:val="0"/>
                <w:szCs w:val="21"/>
              </w:rPr>
            </w:pPr>
            <w:r>
              <w:rPr>
                <w:rFonts w:hint="eastAsia"/>
                <w:b/>
                <w:bCs/>
                <w:kern w:val="0"/>
                <w:szCs w:val="21"/>
              </w:rPr>
              <w:t>项目总投资</w:t>
            </w:r>
          </w:p>
        </w:tc>
        <w:tc>
          <w:tcPr>
            <w:tcW w:w="1111" w:type="pct"/>
            <w:shd w:val="clear" w:color="auto" w:fill="auto"/>
            <w:vAlign w:val="center"/>
          </w:tcPr>
          <w:p w14:paraId="295F706E" w14:textId="77777777" w:rsidR="005F4D30" w:rsidRDefault="005F4D30" w:rsidP="000D3735">
            <w:pPr>
              <w:widowControl/>
              <w:jc w:val="center"/>
              <w:rPr>
                <w:b/>
                <w:bCs/>
                <w:kern w:val="0"/>
                <w:szCs w:val="21"/>
              </w:rPr>
            </w:pPr>
            <w:r>
              <w:rPr>
                <w:rFonts w:hint="eastAsia"/>
                <w:b/>
                <w:bCs/>
                <w:szCs w:val="21"/>
              </w:rPr>
              <w:t>拟投入募集资金</w:t>
            </w:r>
          </w:p>
        </w:tc>
      </w:tr>
      <w:tr w:rsidR="005F4D30" w14:paraId="02A9EEBC" w14:textId="77777777" w:rsidTr="000D3735">
        <w:trPr>
          <w:trHeight w:val="397"/>
          <w:jc w:val="center"/>
        </w:trPr>
        <w:tc>
          <w:tcPr>
            <w:tcW w:w="439" w:type="pct"/>
            <w:shd w:val="clear" w:color="auto" w:fill="auto"/>
            <w:vAlign w:val="center"/>
          </w:tcPr>
          <w:p w14:paraId="4F640E6A" w14:textId="77777777" w:rsidR="005F4D30" w:rsidRDefault="005F4D30" w:rsidP="000D3735">
            <w:pPr>
              <w:autoSpaceDE w:val="0"/>
              <w:autoSpaceDN w:val="0"/>
              <w:adjustRightInd w:val="0"/>
              <w:jc w:val="center"/>
              <w:rPr>
                <w:rFonts w:ascii="宋体" w:hAnsi="宋体" w:cs="Calibri"/>
                <w:kern w:val="0"/>
                <w:szCs w:val="21"/>
              </w:rPr>
            </w:pPr>
            <w:r>
              <w:rPr>
                <w:rFonts w:cs="瀹嬩綋" w:hint="eastAsia"/>
                <w:kern w:val="0"/>
                <w:szCs w:val="21"/>
              </w:rPr>
              <w:t>1</w:t>
            </w:r>
          </w:p>
        </w:tc>
        <w:tc>
          <w:tcPr>
            <w:tcW w:w="2369" w:type="pct"/>
            <w:shd w:val="clear" w:color="auto" w:fill="auto"/>
            <w:vAlign w:val="center"/>
          </w:tcPr>
          <w:p w14:paraId="4C89D21F" w14:textId="77777777" w:rsidR="005F4D30" w:rsidRDefault="005F4D30" w:rsidP="000D3735">
            <w:pPr>
              <w:widowControl/>
              <w:jc w:val="center"/>
              <w:rPr>
                <w:kern w:val="0"/>
                <w:szCs w:val="21"/>
              </w:rPr>
            </w:pPr>
            <w:r>
              <w:rPr>
                <w:rFonts w:hint="eastAsia"/>
                <w:bCs/>
                <w:szCs w:val="21"/>
              </w:rPr>
              <w:t>铜峰电子</w:t>
            </w:r>
            <w:r>
              <w:rPr>
                <w:rFonts w:hint="eastAsia"/>
                <w:kern w:val="0"/>
                <w:szCs w:val="21"/>
              </w:rPr>
              <w:t>新能源用超薄型薄膜材料项目</w:t>
            </w:r>
          </w:p>
        </w:tc>
        <w:tc>
          <w:tcPr>
            <w:tcW w:w="1081" w:type="pct"/>
            <w:shd w:val="clear" w:color="auto" w:fill="auto"/>
            <w:vAlign w:val="center"/>
          </w:tcPr>
          <w:p w14:paraId="5E4ED264" w14:textId="77777777" w:rsidR="005F4D30" w:rsidRDefault="005F4D30" w:rsidP="000D3735">
            <w:pPr>
              <w:widowControl/>
              <w:jc w:val="right"/>
              <w:rPr>
                <w:kern w:val="0"/>
                <w:szCs w:val="21"/>
              </w:rPr>
            </w:pPr>
            <w:r>
              <w:rPr>
                <w:color w:val="000000"/>
                <w:szCs w:val="21"/>
              </w:rPr>
              <w:t>34,550.00</w:t>
            </w:r>
          </w:p>
        </w:tc>
        <w:tc>
          <w:tcPr>
            <w:tcW w:w="1111" w:type="pct"/>
            <w:shd w:val="clear" w:color="auto" w:fill="auto"/>
            <w:vAlign w:val="center"/>
          </w:tcPr>
          <w:p w14:paraId="10EA2C15" w14:textId="77777777" w:rsidR="005F4D30" w:rsidRDefault="005F4D30" w:rsidP="000D3735">
            <w:pPr>
              <w:widowControl/>
              <w:jc w:val="right"/>
              <w:rPr>
                <w:kern w:val="0"/>
                <w:szCs w:val="21"/>
              </w:rPr>
            </w:pPr>
            <w:r>
              <w:rPr>
                <w:kern w:val="0"/>
                <w:szCs w:val="21"/>
              </w:rPr>
              <w:t>28,000</w:t>
            </w:r>
            <w:r>
              <w:rPr>
                <w:color w:val="000000"/>
                <w:szCs w:val="21"/>
              </w:rPr>
              <w:t>.00</w:t>
            </w:r>
          </w:p>
        </w:tc>
      </w:tr>
      <w:tr w:rsidR="005F4D30" w14:paraId="377E7170" w14:textId="77777777" w:rsidTr="000D3735">
        <w:trPr>
          <w:trHeight w:val="397"/>
          <w:jc w:val="center"/>
        </w:trPr>
        <w:tc>
          <w:tcPr>
            <w:tcW w:w="439" w:type="pct"/>
            <w:shd w:val="clear" w:color="auto" w:fill="auto"/>
            <w:vAlign w:val="center"/>
          </w:tcPr>
          <w:p w14:paraId="4C385240" w14:textId="77777777" w:rsidR="005F4D30" w:rsidRDefault="005F4D30" w:rsidP="000D3735">
            <w:pPr>
              <w:widowControl/>
              <w:jc w:val="center"/>
              <w:rPr>
                <w:rFonts w:ascii="宋体" w:hAnsi="宋体" w:cs="Calibri"/>
                <w:kern w:val="0"/>
                <w:szCs w:val="21"/>
              </w:rPr>
            </w:pPr>
            <w:r>
              <w:rPr>
                <w:rFonts w:cs="Calibri" w:hint="eastAsia"/>
                <w:kern w:val="0"/>
                <w:szCs w:val="21"/>
              </w:rPr>
              <w:t>2</w:t>
            </w:r>
          </w:p>
        </w:tc>
        <w:tc>
          <w:tcPr>
            <w:tcW w:w="2369" w:type="pct"/>
            <w:shd w:val="clear" w:color="auto" w:fill="auto"/>
            <w:vAlign w:val="center"/>
          </w:tcPr>
          <w:p w14:paraId="27B844AF" w14:textId="77777777" w:rsidR="005F4D30" w:rsidRDefault="005F4D30" w:rsidP="000D3735">
            <w:pPr>
              <w:widowControl/>
              <w:jc w:val="center"/>
              <w:rPr>
                <w:kern w:val="0"/>
                <w:szCs w:val="21"/>
              </w:rPr>
            </w:pPr>
            <w:r>
              <w:rPr>
                <w:rFonts w:hint="eastAsia"/>
                <w:kern w:val="0"/>
                <w:szCs w:val="21"/>
              </w:rPr>
              <w:t>补充流动资金</w:t>
            </w:r>
          </w:p>
        </w:tc>
        <w:tc>
          <w:tcPr>
            <w:tcW w:w="1081" w:type="pct"/>
            <w:shd w:val="clear" w:color="auto" w:fill="auto"/>
            <w:vAlign w:val="center"/>
          </w:tcPr>
          <w:p w14:paraId="632FB97A" w14:textId="77777777" w:rsidR="005F4D30" w:rsidRDefault="005F4D30" w:rsidP="000D3735">
            <w:pPr>
              <w:widowControl/>
              <w:jc w:val="right"/>
              <w:rPr>
                <w:kern w:val="0"/>
                <w:szCs w:val="21"/>
              </w:rPr>
            </w:pPr>
            <w:r>
              <w:rPr>
                <w:rFonts w:hint="eastAsia"/>
                <w:kern w:val="0"/>
                <w:szCs w:val="21"/>
              </w:rPr>
              <w:t>1</w:t>
            </w:r>
            <w:r>
              <w:rPr>
                <w:kern w:val="0"/>
                <w:szCs w:val="21"/>
              </w:rPr>
              <w:t>2,000.00</w:t>
            </w:r>
          </w:p>
        </w:tc>
        <w:tc>
          <w:tcPr>
            <w:tcW w:w="1111" w:type="pct"/>
            <w:shd w:val="clear" w:color="auto" w:fill="auto"/>
            <w:vAlign w:val="center"/>
          </w:tcPr>
          <w:p w14:paraId="38EB573C" w14:textId="77777777" w:rsidR="005F4D30" w:rsidRDefault="005F4D30" w:rsidP="000D3735">
            <w:pPr>
              <w:widowControl/>
              <w:jc w:val="right"/>
              <w:rPr>
                <w:kern w:val="0"/>
                <w:szCs w:val="21"/>
              </w:rPr>
            </w:pPr>
            <w:r>
              <w:rPr>
                <w:rFonts w:hint="eastAsia"/>
                <w:kern w:val="0"/>
                <w:szCs w:val="21"/>
              </w:rPr>
              <w:t>1</w:t>
            </w:r>
            <w:r>
              <w:rPr>
                <w:kern w:val="0"/>
                <w:szCs w:val="21"/>
              </w:rPr>
              <w:t>2,000.00</w:t>
            </w:r>
          </w:p>
        </w:tc>
      </w:tr>
      <w:tr w:rsidR="005F4D30" w14:paraId="528204DE" w14:textId="77777777" w:rsidTr="000D3735">
        <w:trPr>
          <w:trHeight w:val="397"/>
          <w:jc w:val="center"/>
        </w:trPr>
        <w:tc>
          <w:tcPr>
            <w:tcW w:w="2808" w:type="pct"/>
            <w:gridSpan w:val="2"/>
            <w:shd w:val="clear" w:color="auto" w:fill="auto"/>
            <w:vAlign w:val="center"/>
          </w:tcPr>
          <w:p w14:paraId="08D2AAF6" w14:textId="77777777" w:rsidR="005F4D30" w:rsidRDefault="005F4D30" w:rsidP="000D3735">
            <w:pPr>
              <w:widowControl/>
              <w:jc w:val="center"/>
              <w:rPr>
                <w:b/>
                <w:color w:val="000000"/>
                <w:szCs w:val="21"/>
              </w:rPr>
            </w:pPr>
            <w:r>
              <w:rPr>
                <w:rFonts w:hint="eastAsia"/>
                <w:b/>
                <w:color w:val="000000"/>
                <w:szCs w:val="21"/>
              </w:rPr>
              <w:t>合</w:t>
            </w:r>
            <w:r>
              <w:rPr>
                <w:rFonts w:hint="eastAsia"/>
                <w:b/>
                <w:color w:val="000000"/>
                <w:szCs w:val="21"/>
              </w:rPr>
              <w:t xml:space="preserve"> </w:t>
            </w:r>
            <w:r>
              <w:rPr>
                <w:b/>
                <w:color w:val="000000"/>
                <w:szCs w:val="21"/>
              </w:rPr>
              <w:t xml:space="preserve"> </w:t>
            </w:r>
            <w:r>
              <w:rPr>
                <w:rFonts w:hint="eastAsia"/>
                <w:b/>
                <w:color w:val="000000"/>
                <w:szCs w:val="21"/>
              </w:rPr>
              <w:t>计</w:t>
            </w:r>
          </w:p>
        </w:tc>
        <w:tc>
          <w:tcPr>
            <w:tcW w:w="1081" w:type="pct"/>
            <w:shd w:val="clear" w:color="auto" w:fill="auto"/>
            <w:vAlign w:val="center"/>
          </w:tcPr>
          <w:p w14:paraId="14F5479B" w14:textId="77777777" w:rsidR="005F4D30" w:rsidRDefault="005F4D30" w:rsidP="000D3735">
            <w:pPr>
              <w:widowControl/>
              <w:jc w:val="right"/>
              <w:rPr>
                <w:b/>
                <w:color w:val="000000"/>
                <w:szCs w:val="21"/>
              </w:rPr>
            </w:pPr>
            <w:r>
              <w:rPr>
                <w:b/>
                <w:color w:val="000000"/>
                <w:szCs w:val="21"/>
              </w:rPr>
              <w:t>46,550.00</w:t>
            </w:r>
          </w:p>
        </w:tc>
        <w:tc>
          <w:tcPr>
            <w:tcW w:w="1111" w:type="pct"/>
            <w:shd w:val="clear" w:color="auto" w:fill="auto"/>
            <w:vAlign w:val="center"/>
          </w:tcPr>
          <w:p w14:paraId="20C8CD8B" w14:textId="77777777" w:rsidR="005F4D30" w:rsidRDefault="005F4D30" w:rsidP="000D3735">
            <w:pPr>
              <w:widowControl/>
              <w:jc w:val="right"/>
              <w:rPr>
                <w:b/>
                <w:color w:val="000000"/>
                <w:szCs w:val="21"/>
              </w:rPr>
            </w:pPr>
            <w:r>
              <w:rPr>
                <w:b/>
                <w:color w:val="000000"/>
                <w:szCs w:val="21"/>
              </w:rPr>
              <w:t>40,000.00</w:t>
            </w:r>
          </w:p>
        </w:tc>
      </w:tr>
    </w:tbl>
    <w:p w14:paraId="61019B67" w14:textId="77777777" w:rsidR="005F4D30" w:rsidRDefault="005F4D30" w:rsidP="005F4D30">
      <w:pPr>
        <w:autoSpaceDE w:val="0"/>
        <w:adjustRightInd w:val="0"/>
        <w:spacing w:beforeLines="50" w:before="156" w:afterLines="50" w:after="156" w:line="360" w:lineRule="auto"/>
        <w:ind w:firstLineChars="200" w:firstLine="480"/>
        <w:rPr>
          <w:kern w:val="0"/>
          <w:sz w:val="24"/>
        </w:rPr>
      </w:pPr>
      <w:r>
        <w:rPr>
          <w:rFonts w:hint="eastAsia"/>
          <w:kern w:val="0"/>
          <w:sz w:val="24"/>
        </w:rPr>
        <w:t>若本次发行实际募集资金净额低于拟投资项目的实际资金需求，在不改变拟投资项目的前提下，董事会可根据项目的实际需求，对上述项目的募集资金投入金额、优先顺序进行适当调整，不足部分由公司自行筹措资金解决。本次发行募集资金到位前，公司将根据项目进度的实际情况，以自有资金或其他方式筹集的资金先行投入上述项目，并在募集资金到位后按照相关法律法规予以置换。</w:t>
      </w:r>
    </w:p>
    <w:p w14:paraId="059B9401" w14:textId="77777777" w:rsidR="003261D3" w:rsidRPr="0034581F"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w:t>
      </w:r>
      <w:r>
        <w:rPr>
          <w:rFonts w:eastAsia="黑体" w:hint="eastAsia"/>
          <w:b/>
          <w:bCs/>
          <w:kern w:val="0"/>
          <w:sz w:val="24"/>
        </w:rPr>
        <w:t>七</w:t>
      </w:r>
      <w:r>
        <w:rPr>
          <w:rFonts w:eastAsia="黑体"/>
          <w:b/>
          <w:bCs/>
          <w:kern w:val="0"/>
          <w:sz w:val="24"/>
        </w:rPr>
        <w:t>）</w:t>
      </w:r>
      <w:r>
        <w:rPr>
          <w:rFonts w:eastAsia="黑体" w:hint="eastAsia"/>
          <w:b/>
          <w:bCs/>
          <w:kern w:val="0"/>
          <w:sz w:val="24"/>
        </w:rPr>
        <w:t>锁定</w:t>
      </w:r>
      <w:r w:rsidRPr="0034581F">
        <w:rPr>
          <w:rFonts w:eastAsia="黑体"/>
          <w:b/>
          <w:bCs/>
          <w:kern w:val="0"/>
          <w:sz w:val="24"/>
        </w:rPr>
        <w:t>期</w:t>
      </w:r>
      <w:r w:rsidRPr="0034581F">
        <w:rPr>
          <w:rFonts w:eastAsia="黑体" w:hint="eastAsia"/>
          <w:b/>
          <w:bCs/>
          <w:kern w:val="0"/>
          <w:sz w:val="24"/>
        </w:rPr>
        <w:t>安排</w:t>
      </w:r>
    </w:p>
    <w:p w14:paraId="3C899FDD"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hint="eastAsia"/>
          <w:sz w:val="24"/>
        </w:rPr>
        <w:t>根据</w:t>
      </w:r>
      <w:r>
        <w:rPr>
          <w:rFonts w:ascii="宋体" w:hAnsi="宋体" w:hint="eastAsia"/>
          <w:sz w:val="24"/>
        </w:rPr>
        <w:t>《上市公司证券发行管理办法》、</w:t>
      </w:r>
      <w:r w:rsidRPr="0034581F">
        <w:rPr>
          <w:rFonts w:ascii="宋体" w:hAnsi="宋体" w:hint="eastAsia"/>
          <w:sz w:val="24"/>
        </w:rPr>
        <w:t>《上市公司非公开发行股票实施细则》等相关法律法规的规定，公司控股股东大江投资，其拟认购本次非公开发行的股票自发行结束之日起十八个月内不得转让，其余发行对象认购的本次发行的股票自发行结束之日起六个月内不得转让。</w:t>
      </w:r>
    </w:p>
    <w:p w14:paraId="06C6AF4A"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hint="eastAsia"/>
          <w:sz w:val="24"/>
        </w:rPr>
        <w:t>发行对象基于本次交易所取得公司定向发行的股票因公司分配股票股利、</w:t>
      </w:r>
      <w:r>
        <w:rPr>
          <w:rFonts w:ascii="宋体" w:hAnsi="宋体" w:hint="eastAsia"/>
          <w:sz w:val="24"/>
        </w:rPr>
        <w:t>资本公积转增等情形所衍生取得的股票亦应遵守上述股票锁定安排。锁定</w:t>
      </w:r>
      <w:r w:rsidRPr="0034581F">
        <w:rPr>
          <w:rFonts w:ascii="宋体" w:hAnsi="宋体" w:hint="eastAsia"/>
          <w:sz w:val="24"/>
        </w:rPr>
        <w:t>期结束后，将按照中国证监会及上海证券交易所的有关规定执行。相关监管机关对于发行对象所认购股份锁定期另有要求的，从其规定。</w:t>
      </w:r>
    </w:p>
    <w:p w14:paraId="0F3F60BC" w14:textId="77777777" w:rsidR="003261D3" w:rsidRPr="0034581F"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w:t>
      </w:r>
      <w:r>
        <w:rPr>
          <w:rFonts w:eastAsia="黑体" w:hint="eastAsia"/>
          <w:b/>
          <w:bCs/>
          <w:kern w:val="0"/>
          <w:sz w:val="24"/>
        </w:rPr>
        <w:t>八</w:t>
      </w:r>
      <w:r w:rsidRPr="0034581F">
        <w:rPr>
          <w:rFonts w:eastAsia="黑体"/>
          <w:b/>
          <w:bCs/>
          <w:kern w:val="0"/>
          <w:sz w:val="24"/>
        </w:rPr>
        <w:t>）上市地点</w:t>
      </w:r>
    </w:p>
    <w:p w14:paraId="0D6EBE47"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sz w:val="24"/>
        </w:rPr>
        <w:t>本次非公开发行的股票将在上海证券交易所上市交易。</w:t>
      </w:r>
    </w:p>
    <w:p w14:paraId="6C866330" w14:textId="58A832FA" w:rsidR="003261D3" w:rsidRPr="0034581F"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w:t>
      </w:r>
      <w:r>
        <w:rPr>
          <w:rFonts w:eastAsia="黑体" w:hint="eastAsia"/>
          <w:b/>
          <w:bCs/>
          <w:kern w:val="0"/>
          <w:sz w:val="24"/>
        </w:rPr>
        <w:t>九</w:t>
      </w:r>
      <w:r w:rsidRPr="0034581F">
        <w:rPr>
          <w:rFonts w:eastAsia="黑体"/>
          <w:b/>
          <w:bCs/>
          <w:kern w:val="0"/>
          <w:sz w:val="24"/>
        </w:rPr>
        <w:t>）滚存未分配利润</w:t>
      </w:r>
      <w:r>
        <w:rPr>
          <w:rFonts w:eastAsia="黑体" w:hint="eastAsia"/>
          <w:b/>
          <w:bCs/>
          <w:kern w:val="0"/>
          <w:sz w:val="24"/>
        </w:rPr>
        <w:t>的</w:t>
      </w:r>
      <w:r w:rsidRPr="0034581F">
        <w:rPr>
          <w:rFonts w:eastAsia="黑体"/>
          <w:b/>
          <w:bCs/>
          <w:kern w:val="0"/>
          <w:sz w:val="24"/>
        </w:rPr>
        <w:t>安排</w:t>
      </w:r>
    </w:p>
    <w:p w14:paraId="7A980785"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sz w:val="24"/>
        </w:rPr>
        <w:t>本次非公开发行前</w:t>
      </w:r>
      <w:r>
        <w:rPr>
          <w:rFonts w:ascii="宋体" w:hAnsi="宋体" w:hint="eastAsia"/>
          <w:sz w:val="24"/>
        </w:rPr>
        <w:t>的</w:t>
      </w:r>
      <w:r w:rsidRPr="0034581F">
        <w:rPr>
          <w:rFonts w:ascii="宋体" w:hAnsi="宋体"/>
          <w:sz w:val="24"/>
        </w:rPr>
        <w:t>公司滚存未分配利润，由本次发行完成后的新老股东共</w:t>
      </w:r>
      <w:r w:rsidRPr="0034581F">
        <w:rPr>
          <w:rFonts w:ascii="宋体" w:hAnsi="宋体"/>
          <w:sz w:val="24"/>
        </w:rPr>
        <w:lastRenderedPageBreak/>
        <w:t>享。</w:t>
      </w:r>
    </w:p>
    <w:p w14:paraId="3565667D" w14:textId="00547D4E" w:rsidR="003261D3" w:rsidRPr="0034581F" w:rsidRDefault="003261D3" w:rsidP="003261D3">
      <w:pPr>
        <w:autoSpaceDE w:val="0"/>
        <w:spacing w:beforeLines="50" w:before="156" w:afterLines="50" w:after="156" w:line="360" w:lineRule="auto"/>
        <w:ind w:firstLineChars="200" w:firstLine="482"/>
        <w:rPr>
          <w:rFonts w:eastAsia="黑体"/>
          <w:b/>
          <w:bCs/>
          <w:kern w:val="0"/>
          <w:sz w:val="24"/>
        </w:rPr>
      </w:pPr>
      <w:r w:rsidRPr="0034581F">
        <w:rPr>
          <w:rFonts w:eastAsia="黑体"/>
          <w:b/>
          <w:bCs/>
          <w:kern w:val="0"/>
          <w:sz w:val="24"/>
        </w:rPr>
        <w:t>（</w:t>
      </w:r>
      <w:r>
        <w:rPr>
          <w:rFonts w:eastAsia="黑体" w:hint="eastAsia"/>
          <w:b/>
          <w:bCs/>
          <w:kern w:val="0"/>
          <w:sz w:val="24"/>
        </w:rPr>
        <w:t>十</w:t>
      </w:r>
      <w:r w:rsidRPr="0034581F">
        <w:rPr>
          <w:rFonts w:eastAsia="黑体"/>
          <w:b/>
          <w:bCs/>
          <w:kern w:val="0"/>
          <w:sz w:val="24"/>
        </w:rPr>
        <w:t>）本次非公开发行</w:t>
      </w:r>
      <w:r>
        <w:rPr>
          <w:rFonts w:eastAsia="黑体" w:hint="eastAsia"/>
          <w:b/>
          <w:bCs/>
          <w:kern w:val="0"/>
          <w:sz w:val="24"/>
        </w:rPr>
        <w:t>A</w:t>
      </w:r>
      <w:r>
        <w:rPr>
          <w:rFonts w:eastAsia="黑体" w:hint="eastAsia"/>
          <w:b/>
          <w:bCs/>
          <w:kern w:val="0"/>
          <w:sz w:val="24"/>
        </w:rPr>
        <w:t>股股票的</w:t>
      </w:r>
      <w:r>
        <w:rPr>
          <w:rFonts w:eastAsia="黑体"/>
          <w:b/>
          <w:bCs/>
          <w:kern w:val="0"/>
          <w:sz w:val="24"/>
        </w:rPr>
        <w:t>决议</w:t>
      </w:r>
      <w:r w:rsidRPr="0034581F">
        <w:rPr>
          <w:rFonts w:eastAsia="黑体"/>
          <w:b/>
          <w:bCs/>
          <w:kern w:val="0"/>
          <w:sz w:val="24"/>
        </w:rPr>
        <w:t>有效期</w:t>
      </w:r>
    </w:p>
    <w:p w14:paraId="0E1995EA" w14:textId="77777777" w:rsidR="003261D3" w:rsidRPr="0034581F" w:rsidRDefault="003261D3" w:rsidP="003261D3">
      <w:pPr>
        <w:spacing w:beforeLines="50" w:before="156" w:afterLines="50" w:after="156" w:line="360" w:lineRule="auto"/>
        <w:ind w:firstLineChars="200" w:firstLine="480"/>
        <w:rPr>
          <w:rFonts w:ascii="宋体" w:hAnsi="宋体"/>
          <w:sz w:val="24"/>
        </w:rPr>
      </w:pPr>
      <w:r w:rsidRPr="0034581F">
        <w:rPr>
          <w:rFonts w:ascii="宋体" w:hAnsi="宋体"/>
          <w:sz w:val="24"/>
        </w:rPr>
        <w:t>本次非公开发行决议的有效期为自公司股东大会审议通过之日起</w:t>
      </w:r>
      <w:r w:rsidRPr="0034581F">
        <w:rPr>
          <w:sz w:val="24"/>
        </w:rPr>
        <w:t>12</w:t>
      </w:r>
      <w:r w:rsidRPr="0034581F">
        <w:rPr>
          <w:rFonts w:ascii="宋体" w:hAnsi="宋体"/>
          <w:sz w:val="24"/>
        </w:rPr>
        <w:t>个月。</w:t>
      </w:r>
      <w:r w:rsidRPr="0034581F">
        <w:rPr>
          <w:rFonts w:ascii="宋体" w:hAnsi="宋体" w:hint="eastAsia"/>
          <w:sz w:val="24"/>
        </w:rPr>
        <w:t>若国家法律、法规对非公开发行股票有新的规定，公司将按新的规定进行相应调整。</w:t>
      </w:r>
    </w:p>
    <w:p w14:paraId="3E670418" w14:textId="77777777" w:rsidR="00D26039" w:rsidRDefault="00B30650">
      <w:pPr>
        <w:keepNext/>
        <w:keepLines/>
        <w:autoSpaceDE w:val="0"/>
        <w:spacing w:beforeLines="50" w:before="156" w:afterLines="50" w:after="156" w:line="360" w:lineRule="auto"/>
        <w:outlineLvl w:val="1"/>
        <w:rPr>
          <w:rFonts w:eastAsia="黑体"/>
          <w:b/>
          <w:bCs/>
          <w:kern w:val="0"/>
          <w:sz w:val="28"/>
          <w:szCs w:val="32"/>
        </w:rPr>
      </w:pPr>
      <w:r>
        <w:rPr>
          <w:rFonts w:eastAsia="黑体" w:hint="eastAsia"/>
          <w:b/>
          <w:bCs/>
          <w:kern w:val="0"/>
          <w:sz w:val="28"/>
          <w:szCs w:val="32"/>
        </w:rPr>
        <w:t>五</w:t>
      </w:r>
      <w:r>
        <w:rPr>
          <w:rFonts w:eastAsia="黑体"/>
          <w:b/>
          <w:bCs/>
          <w:kern w:val="0"/>
          <w:sz w:val="28"/>
          <w:szCs w:val="32"/>
        </w:rPr>
        <w:t>、本次募集资金</w:t>
      </w:r>
      <w:r>
        <w:rPr>
          <w:rFonts w:eastAsia="黑体" w:hint="eastAsia"/>
          <w:b/>
          <w:bCs/>
          <w:kern w:val="0"/>
          <w:sz w:val="28"/>
          <w:szCs w:val="32"/>
        </w:rPr>
        <w:t>投向</w:t>
      </w:r>
      <w:bookmarkEnd w:id="31"/>
    </w:p>
    <w:p w14:paraId="1114F459" w14:textId="3D682590"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本次非公开发行拟募集资金总额不超过</w:t>
      </w:r>
      <w:r>
        <w:rPr>
          <w:sz w:val="24"/>
        </w:rPr>
        <w:t>40</w:t>
      </w:r>
      <w:r>
        <w:rPr>
          <w:rFonts w:ascii="宋体" w:hAnsi="宋体"/>
          <w:sz w:val="24"/>
        </w:rPr>
        <w:t>,</w:t>
      </w:r>
      <w:r>
        <w:rPr>
          <w:sz w:val="24"/>
        </w:rPr>
        <w:t>000</w:t>
      </w:r>
      <w:r w:rsidR="00167428">
        <w:rPr>
          <w:sz w:val="24"/>
        </w:rPr>
        <w:t>.00</w:t>
      </w:r>
      <w:r>
        <w:rPr>
          <w:rFonts w:ascii="宋体" w:hAnsi="宋体" w:hint="eastAsia"/>
          <w:sz w:val="24"/>
        </w:rPr>
        <w:t>万元（含本数），扣除相关发行费用后的募集资金净额将全部投资于以下项目：</w:t>
      </w:r>
    </w:p>
    <w:p w14:paraId="6BEEB5D3" w14:textId="77777777" w:rsidR="00D26039" w:rsidRDefault="00B30650">
      <w:pPr>
        <w:ind w:firstLineChars="200" w:firstLine="420"/>
        <w:jc w:val="right"/>
        <w:rPr>
          <w:rFonts w:ascii="宋体" w:hAnsi="宋体"/>
          <w:bCs/>
          <w:color w:val="000000"/>
          <w:szCs w:val="21"/>
        </w:rPr>
      </w:pPr>
      <w:r>
        <w:rPr>
          <w:rFonts w:ascii="宋体" w:hAnsi="宋体" w:hint="eastAsia"/>
          <w:bCs/>
          <w:color w:val="000000"/>
          <w:szCs w:val="21"/>
        </w:rPr>
        <w:t>单位：万元</w:t>
      </w:r>
    </w:p>
    <w:tbl>
      <w:tblPr>
        <w:tblW w:w="5000"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4A0" w:firstRow="1" w:lastRow="0" w:firstColumn="1" w:lastColumn="0" w:noHBand="0" w:noVBand="1"/>
      </w:tblPr>
      <w:tblGrid>
        <w:gridCol w:w="675"/>
        <w:gridCol w:w="4273"/>
        <w:gridCol w:w="1752"/>
        <w:gridCol w:w="1822"/>
      </w:tblGrid>
      <w:tr w:rsidR="00D26039" w14:paraId="08B328D6" w14:textId="77777777">
        <w:trPr>
          <w:trHeight w:val="397"/>
          <w:jc w:val="center"/>
        </w:trPr>
        <w:tc>
          <w:tcPr>
            <w:tcW w:w="396" w:type="pct"/>
            <w:shd w:val="clear" w:color="auto" w:fill="auto"/>
            <w:vAlign w:val="center"/>
          </w:tcPr>
          <w:p w14:paraId="3FC24209" w14:textId="77777777" w:rsidR="00D26039" w:rsidRDefault="00B30650">
            <w:pPr>
              <w:widowControl/>
              <w:jc w:val="center"/>
              <w:rPr>
                <w:rFonts w:ascii="宋体" w:hAnsi="宋体" w:cs="Calibri"/>
                <w:b/>
                <w:bCs/>
                <w:kern w:val="0"/>
                <w:szCs w:val="21"/>
              </w:rPr>
            </w:pPr>
            <w:r>
              <w:rPr>
                <w:rFonts w:ascii="宋体" w:hAnsi="宋体" w:cs="Calibri" w:hint="eastAsia"/>
                <w:b/>
                <w:bCs/>
                <w:kern w:val="0"/>
                <w:szCs w:val="21"/>
              </w:rPr>
              <w:t>序号</w:t>
            </w:r>
          </w:p>
        </w:tc>
        <w:tc>
          <w:tcPr>
            <w:tcW w:w="2507" w:type="pct"/>
            <w:shd w:val="clear" w:color="auto" w:fill="auto"/>
            <w:vAlign w:val="center"/>
          </w:tcPr>
          <w:p w14:paraId="1A6C19C8" w14:textId="77777777" w:rsidR="00D26039" w:rsidRDefault="00B30650">
            <w:pPr>
              <w:widowControl/>
              <w:jc w:val="center"/>
              <w:rPr>
                <w:b/>
                <w:bCs/>
                <w:kern w:val="0"/>
                <w:szCs w:val="21"/>
              </w:rPr>
            </w:pPr>
            <w:r>
              <w:rPr>
                <w:rFonts w:hint="eastAsia"/>
                <w:b/>
                <w:bCs/>
                <w:kern w:val="0"/>
                <w:szCs w:val="21"/>
              </w:rPr>
              <w:t>项目名称</w:t>
            </w:r>
          </w:p>
        </w:tc>
        <w:tc>
          <w:tcPr>
            <w:tcW w:w="1028" w:type="pct"/>
            <w:shd w:val="clear" w:color="auto" w:fill="auto"/>
            <w:vAlign w:val="center"/>
          </w:tcPr>
          <w:p w14:paraId="4025BE36" w14:textId="77777777" w:rsidR="00D26039" w:rsidRDefault="00B30650">
            <w:pPr>
              <w:widowControl/>
              <w:jc w:val="center"/>
              <w:rPr>
                <w:b/>
                <w:bCs/>
                <w:kern w:val="0"/>
                <w:szCs w:val="21"/>
              </w:rPr>
            </w:pPr>
            <w:r>
              <w:rPr>
                <w:rFonts w:hint="eastAsia"/>
                <w:b/>
                <w:bCs/>
                <w:kern w:val="0"/>
                <w:szCs w:val="21"/>
              </w:rPr>
              <w:t>项目总投资</w:t>
            </w:r>
          </w:p>
        </w:tc>
        <w:tc>
          <w:tcPr>
            <w:tcW w:w="1069" w:type="pct"/>
            <w:shd w:val="clear" w:color="auto" w:fill="auto"/>
            <w:vAlign w:val="center"/>
          </w:tcPr>
          <w:p w14:paraId="02FEEC12" w14:textId="77777777" w:rsidR="00D26039" w:rsidRDefault="00B30650">
            <w:pPr>
              <w:widowControl/>
              <w:jc w:val="center"/>
              <w:rPr>
                <w:b/>
                <w:bCs/>
                <w:kern w:val="0"/>
                <w:szCs w:val="21"/>
              </w:rPr>
            </w:pPr>
            <w:r>
              <w:rPr>
                <w:rFonts w:hint="eastAsia"/>
                <w:b/>
                <w:bCs/>
                <w:szCs w:val="21"/>
              </w:rPr>
              <w:t>拟投入募集资金</w:t>
            </w:r>
          </w:p>
        </w:tc>
      </w:tr>
      <w:tr w:rsidR="00D26039" w14:paraId="51FF67B5" w14:textId="77777777">
        <w:trPr>
          <w:trHeight w:val="397"/>
          <w:jc w:val="center"/>
        </w:trPr>
        <w:tc>
          <w:tcPr>
            <w:tcW w:w="396" w:type="pct"/>
            <w:shd w:val="clear" w:color="auto" w:fill="auto"/>
            <w:vAlign w:val="center"/>
          </w:tcPr>
          <w:p w14:paraId="5C32595B" w14:textId="77777777" w:rsidR="00D26039" w:rsidRDefault="00B30650">
            <w:pPr>
              <w:autoSpaceDE w:val="0"/>
              <w:autoSpaceDN w:val="0"/>
              <w:adjustRightInd w:val="0"/>
              <w:jc w:val="center"/>
              <w:rPr>
                <w:rFonts w:ascii="宋体" w:hAnsi="宋体" w:cs="Calibri"/>
                <w:kern w:val="0"/>
                <w:szCs w:val="21"/>
              </w:rPr>
            </w:pPr>
            <w:r>
              <w:rPr>
                <w:rFonts w:cs="瀹嬩綋" w:hint="eastAsia"/>
                <w:kern w:val="0"/>
                <w:szCs w:val="21"/>
              </w:rPr>
              <w:t>1</w:t>
            </w:r>
          </w:p>
        </w:tc>
        <w:tc>
          <w:tcPr>
            <w:tcW w:w="2507" w:type="pct"/>
            <w:shd w:val="clear" w:color="auto" w:fill="auto"/>
            <w:vAlign w:val="center"/>
          </w:tcPr>
          <w:p w14:paraId="129AF110" w14:textId="77777777" w:rsidR="00D26039" w:rsidRDefault="00B30650">
            <w:pPr>
              <w:widowControl/>
              <w:jc w:val="center"/>
              <w:rPr>
                <w:kern w:val="0"/>
                <w:szCs w:val="21"/>
              </w:rPr>
            </w:pPr>
            <w:r>
              <w:rPr>
                <w:rFonts w:hint="eastAsia"/>
                <w:bCs/>
                <w:szCs w:val="21"/>
              </w:rPr>
              <w:t>铜峰电子</w:t>
            </w:r>
            <w:r>
              <w:rPr>
                <w:rFonts w:hint="eastAsia"/>
                <w:kern w:val="0"/>
                <w:szCs w:val="21"/>
              </w:rPr>
              <w:t>新能源用超薄型薄膜材料项目</w:t>
            </w:r>
          </w:p>
        </w:tc>
        <w:tc>
          <w:tcPr>
            <w:tcW w:w="1028" w:type="pct"/>
            <w:shd w:val="clear" w:color="auto" w:fill="auto"/>
            <w:vAlign w:val="center"/>
          </w:tcPr>
          <w:p w14:paraId="5D1EA46A" w14:textId="77777777" w:rsidR="00D26039" w:rsidRDefault="00B30650">
            <w:pPr>
              <w:widowControl/>
              <w:jc w:val="right"/>
              <w:rPr>
                <w:kern w:val="0"/>
                <w:szCs w:val="21"/>
              </w:rPr>
            </w:pPr>
            <w:r>
              <w:rPr>
                <w:color w:val="000000"/>
                <w:szCs w:val="21"/>
              </w:rPr>
              <w:t>34,550.00</w:t>
            </w:r>
          </w:p>
        </w:tc>
        <w:tc>
          <w:tcPr>
            <w:tcW w:w="1069" w:type="pct"/>
            <w:shd w:val="clear" w:color="auto" w:fill="auto"/>
            <w:vAlign w:val="center"/>
          </w:tcPr>
          <w:p w14:paraId="7B9659C9" w14:textId="77777777" w:rsidR="00D26039" w:rsidRDefault="00B30650">
            <w:pPr>
              <w:widowControl/>
              <w:jc w:val="right"/>
              <w:rPr>
                <w:kern w:val="0"/>
                <w:szCs w:val="21"/>
              </w:rPr>
            </w:pPr>
            <w:r>
              <w:rPr>
                <w:kern w:val="0"/>
                <w:szCs w:val="21"/>
              </w:rPr>
              <w:t>28,000</w:t>
            </w:r>
            <w:r>
              <w:rPr>
                <w:color w:val="000000"/>
                <w:szCs w:val="21"/>
              </w:rPr>
              <w:t>.00</w:t>
            </w:r>
          </w:p>
        </w:tc>
      </w:tr>
      <w:tr w:rsidR="00D26039" w14:paraId="1D3CC467" w14:textId="77777777">
        <w:trPr>
          <w:trHeight w:val="397"/>
          <w:jc w:val="center"/>
        </w:trPr>
        <w:tc>
          <w:tcPr>
            <w:tcW w:w="396" w:type="pct"/>
            <w:shd w:val="clear" w:color="auto" w:fill="auto"/>
            <w:vAlign w:val="center"/>
          </w:tcPr>
          <w:p w14:paraId="4E3A75FA" w14:textId="77777777" w:rsidR="00D26039" w:rsidRDefault="00B30650">
            <w:pPr>
              <w:widowControl/>
              <w:jc w:val="center"/>
              <w:rPr>
                <w:rFonts w:ascii="宋体" w:hAnsi="宋体" w:cs="Calibri"/>
                <w:kern w:val="0"/>
                <w:szCs w:val="21"/>
              </w:rPr>
            </w:pPr>
            <w:r>
              <w:rPr>
                <w:rFonts w:cs="Calibri" w:hint="eastAsia"/>
                <w:kern w:val="0"/>
                <w:szCs w:val="21"/>
              </w:rPr>
              <w:t>2</w:t>
            </w:r>
          </w:p>
        </w:tc>
        <w:tc>
          <w:tcPr>
            <w:tcW w:w="2507" w:type="pct"/>
            <w:shd w:val="clear" w:color="auto" w:fill="auto"/>
            <w:vAlign w:val="center"/>
          </w:tcPr>
          <w:p w14:paraId="33CCCEE3" w14:textId="77777777" w:rsidR="00D26039" w:rsidRDefault="00B30650">
            <w:pPr>
              <w:widowControl/>
              <w:jc w:val="center"/>
              <w:rPr>
                <w:kern w:val="0"/>
                <w:szCs w:val="21"/>
              </w:rPr>
            </w:pPr>
            <w:r>
              <w:rPr>
                <w:rFonts w:hint="eastAsia"/>
                <w:kern w:val="0"/>
                <w:szCs w:val="21"/>
              </w:rPr>
              <w:t>补充流动资金</w:t>
            </w:r>
          </w:p>
        </w:tc>
        <w:tc>
          <w:tcPr>
            <w:tcW w:w="1028" w:type="pct"/>
            <w:shd w:val="clear" w:color="auto" w:fill="auto"/>
            <w:vAlign w:val="center"/>
          </w:tcPr>
          <w:p w14:paraId="5329B6DA" w14:textId="77777777" w:rsidR="00D26039" w:rsidRDefault="00B30650">
            <w:pPr>
              <w:widowControl/>
              <w:jc w:val="right"/>
              <w:rPr>
                <w:kern w:val="0"/>
                <w:szCs w:val="21"/>
              </w:rPr>
            </w:pPr>
            <w:r>
              <w:rPr>
                <w:rFonts w:hint="eastAsia"/>
                <w:kern w:val="0"/>
                <w:szCs w:val="21"/>
              </w:rPr>
              <w:t>1</w:t>
            </w:r>
            <w:r>
              <w:rPr>
                <w:kern w:val="0"/>
                <w:szCs w:val="21"/>
              </w:rPr>
              <w:t>2,000.00</w:t>
            </w:r>
          </w:p>
        </w:tc>
        <w:tc>
          <w:tcPr>
            <w:tcW w:w="1069" w:type="pct"/>
            <w:shd w:val="clear" w:color="auto" w:fill="auto"/>
            <w:vAlign w:val="center"/>
          </w:tcPr>
          <w:p w14:paraId="0258A19D" w14:textId="77777777" w:rsidR="00D26039" w:rsidRDefault="00B30650">
            <w:pPr>
              <w:widowControl/>
              <w:jc w:val="right"/>
              <w:rPr>
                <w:kern w:val="0"/>
                <w:szCs w:val="21"/>
              </w:rPr>
            </w:pPr>
            <w:r>
              <w:rPr>
                <w:rFonts w:hint="eastAsia"/>
                <w:kern w:val="0"/>
                <w:szCs w:val="21"/>
              </w:rPr>
              <w:t>1</w:t>
            </w:r>
            <w:r>
              <w:rPr>
                <w:kern w:val="0"/>
                <w:szCs w:val="21"/>
              </w:rPr>
              <w:t>2,000.00</w:t>
            </w:r>
          </w:p>
        </w:tc>
      </w:tr>
      <w:tr w:rsidR="00D26039" w14:paraId="191D858D" w14:textId="77777777">
        <w:trPr>
          <w:trHeight w:val="397"/>
          <w:jc w:val="center"/>
        </w:trPr>
        <w:tc>
          <w:tcPr>
            <w:tcW w:w="2903" w:type="pct"/>
            <w:gridSpan w:val="2"/>
            <w:shd w:val="clear" w:color="auto" w:fill="auto"/>
            <w:vAlign w:val="center"/>
          </w:tcPr>
          <w:p w14:paraId="3F475805" w14:textId="77777777" w:rsidR="00D26039" w:rsidRDefault="00B30650">
            <w:pPr>
              <w:widowControl/>
              <w:jc w:val="center"/>
              <w:rPr>
                <w:b/>
                <w:color w:val="000000"/>
                <w:szCs w:val="21"/>
              </w:rPr>
            </w:pPr>
            <w:r>
              <w:rPr>
                <w:rFonts w:hint="eastAsia"/>
                <w:b/>
                <w:color w:val="000000"/>
                <w:szCs w:val="21"/>
              </w:rPr>
              <w:t>合</w:t>
            </w:r>
            <w:r>
              <w:rPr>
                <w:rFonts w:hint="eastAsia"/>
                <w:b/>
                <w:color w:val="000000"/>
                <w:szCs w:val="21"/>
              </w:rPr>
              <w:t xml:space="preserve"> </w:t>
            </w:r>
            <w:r>
              <w:rPr>
                <w:b/>
                <w:color w:val="000000"/>
                <w:szCs w:val="21"/>
              </w:rPr>
              <w:t xml:space="preserve"> </w:t>
            </w:r>
            <w:r>
              <w:rPr>
                <w:rFonts w:hint="eastAsia"/>
                <w:b/>
                <w:color w:val="000000"/>
                <w:szCs w:val="21"/>
              </w:rPr>
              <w:t>计</w:t>
            </w:r>
          </w:p>
        </w:tc>
        <w:tc>
          <w:tcPr>
            <w:tcW w:w="1028" w:type="pct"/>
            <w:shd w:val="clear" w:color="auto" w:fill="auto"/>
            <w:vAlign w:val="center"/>
          </w:tcPr>
          <w:p w14:paraId="2F0895ED" w14:textId="77777777" w:rsidR="00D26039" w:rsidRDefault="00B30650">
            <w:pPr>
              <w:widowControl/>
              <w:jc w:val="right"/>
              <w:rPr>
                <w:b/>
                <w:color w:val="000000"/>
                <w:szCs w:val="21"/>
              </w:rPr>
            </w:pPr>
            <w:r>
              <w:rPr>
                <w:b/>
                <w:color w:val="000000"/>
                <w:szCs w:val="21"/>
              </w:rPr>
              <w:t>46,550.00</w:t>
            </w:r>
          </w:p>
        </w:tc>
        <w:tc>
          <w:tcPr>
            <w:tcW w:w="1069" w:type="pct"/>
            <w:shd w:val="clear" w:color="auto" w:fill="auto"/>
            <w:vAlign w:val="center"/>
          </w:tcPr>
          <w:p w14:paraId="776C8454" w14:textId="77777777" w:rsidR="00D26039" w:rsidRDefault="00B30650">
            <w:pPr>
              <w:widowControl/>
              <w:jc w:val="right"/>
              <w:rPr>
                <w:b/>
                <w:color w:val="000000"/>
                <w:szCs w:val="21"/>
              </w:rPr>
            </w:pPr>
            <w:r>
              <w:rPr>
                <w:b/>
                <w:color w:val="000000"/>
                <w:szCs w:val="21"/>
              </w:rPr>
              <w:t>40,000.00</w:t>
            </w:r>
          </w:p>
        </w:tc>
      </w:tr>
    </w:tbl>
    <w:p w14:paraId="1C992F97"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若本次发行实际募集资金净额低于拟投资项目的实际资金需求，在不改变拟投资项目的前提下，董事会可根据项目的实际需求，对上述项目的募集资金投入金额、优先顺序进行适当调整，不足部分由公司自行筹措资金解决。本次发行募集资金到位前，公司将根据项目进度的实际情况，以自有资金或其他方式筹集的资金先行投入上述项目，并在募集资金到位后按照相关法律法规予以置换。</w:t>
      </w:r>
    </w:p>
    <w:p w14:paraId="3BC384A1" w14:textId="77777777" w:rsidR="00D26039" w:rsidRDefault="00B30650">
      <w:pPr>
        <w:keepNext/>
        <w:keepLines/>
        <w:autoSpaceDE w:val="0"/>
        <w:spacing w:beforeLines="50" w:before="156" w:afterLines="50" w:after="156" w:line="360" w:lineRule="auto"/>
        <w:outlineLvl w:val="1"/>
        <w:rPr>
          <w:rFonts w:eastAsia="黑体"/>
          <w:b/>
          <w:bCs/>
          <w:kern w:val="0"/>
          <w:sz w:val="28"/>
          <w:szCs w:val="32"/>
        </w:rPr>
      </w:pPr>
      <w:bookmarkStart w:id="33" w:name="_Toc111905400"/>
      <w:r>
        <w:rPr>
          <w:rFonts w:eastAsia="黑体" w:hint="eastAsia"/>
          <w:b/>
          <w:bCs/>
          <w:kern w:val="0"/>
          <w:sz w:val="28"/>
          <w:szCs w:val="32"/>
        </w:rPr>
        <w:t>六</w:t>
      </w:r>
      <w:r>
        <w:rPr>
          <w:rFonts w:eastAsia="黑体"/>
          <w:b/>
          <w:bCs/>
          <w:kern w:val="0"/>
          <w:sz w:val="28"/>
          <w:szCs w:val="32"/>
        </w:rPr>
        <w:t>、本次发行是否构成关联交易</w:t>
      </w:r>
      <w:bookmarkEnd w:id="33"/>
    </w:p>
    <w:p w14:paraId="56C3E6FC"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本次发行对象包括控股股东大江投资，大江投资认购本次非公开发行股票构成关联交易。</w:t>
      </w:r>
    </w:p>
    <w:p w14:paraId="34812ADD"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公司将严格遵照法律法规以及公司内部规定履行关联交易的审批程序。本公司董事会在审议相关议案时，将严格按照相关法律、法规以及公司内部制度的规定，履行关联交易的审议和表决程序，独立董事发表事前认可意见和独立意见，关联董事回避表决。经公司股东大会审议时，关联股东也将对本次发行相关事项回避表决。</w:t>
      </w:r>
    </w:p>
    <w:p w14:paraId="5A56278A" w14:textId="77777777" w:rsidR="00D26039" w:rsidRDefault="00B30650">
      <w:pPr>
        <w:keepNext/>
        <w:keepLines/>
        <w:autoSpaceDE w:val="0"/>
        <w:spacing w:beforeLines="50" w:before="156" w:afterLines="50" w:after="156" w:line="360" w:lineRule="auto"/>
        <w:outlineLvl w:val="1"/>
        <w:rPr>
          <w:rFonts w:eastAsia="黑体"/>
          <w:b/>
          <w:bCs/>
          <w:kern w:val="0"/>
          <w:sz w:val="28"/>
          <w:szCs w:val="32"/>
        </w:rPr>
      </w:pPr>
      <w:bookmarkStart w:id="34" w:name="_Toc111905401"/>
      <w:r>
        <w:rPr>
          <w:rFonts w:eastAsia="黑体"/>
          <w:b/>
          <w:bCs/>
          <w:kern w:val="0"/>
          <w:sz w:val="28"/>
          <w:szCs w:val="32"/>
        </w:rPr>
        <w:lastRenderedPageBreak/>
        <w:t>七、本次发行是否导致公司控制权发生变化</w:t>
      </w:r>
      <w:bookmarkEnd w:id="34"/>
    </w:p>
    <w:p w14:paraId="3637CF5F" w14:textId="2A478D58"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截至本预案公告日，大江投资持股数为</w:t>
      </w:r>
      <w:r>
        <w:rPr>
          <w:sz w:val="24"/>
        </w:rPr>
        <w:t>111</w:t>
      </w:r>
      <w:r>
        <w:rPr>
          <w:rFonts w:ascii="宋体" w:hAnsi="宋体"/>
          <w:sz w:val="24"/>
        </w:rPr>
        <w:t>,</w:t>
      </w:r>
      <w:r>
        <w:rPr>
          <w:sz w:val="24"/>
        </w:rPr>
        <w:t>705</w:t>
      </w:r>
      <w:r>
        <w:rPr>
          <w:rFonts w:ascii="宋体" w:hAnsi="宋体"/>
          <w:sz w:val="24"/>
        </w:rPr>
        <w:t>,</w:t>
      </w:r>
      <w:r>
        <w:rPr>
          <w:sz w:val="24"/>
        </w:rPr>
        <w:t>979</w:t>
      </w:r>
      <w:r>
        <w:rPr>
          <w:rFonts w:ascii="宋体" w:hAnsi="宋体" w:hint="eastAsia"/>
          <w:sz w:val="24"/>
        </w:rPr>
        <w:t>股，持股比例为</w:t>
      </w:r>
      <w:r>
        <w:rPr>
          <w:sz w:val="24"/>
        </w:rPr>
        <w:t>19</w:t>
      </w:r>
      <w:r>
        <w:rPr>
          <w:rFonts w:ascii="宋体" w:hAnsi="宋体"/>
          <w:sz w:val="24"/>
        </w:rPr>
        <w:t>.</w:t>
      </w:r>
      <w:r>
        <w:rPr>
          <w:sz w:val="24"/>
        </w:rPr>
        <w:t>79</w:t>
      </w:r>
      <w:r>
        <w:rPr>
          <w:rFonts w:ascii="宋体" w:hAnsi="宋体"/>
          <w:sz w:val="24"/>
        </w:rPr>
        <w:t>%</w:t>
      </w:r>
      <w:r>
        <w:rPr>
          <w:rFonts w:ascii="宋体" w:hAnsi="宋体" w:hint="eastAsia"/>
          <w:sz w:val="24"/>
        </w:rPr>
        <w:t>，为公司控股股东，铜陵经济技术开发区管理委员会直接持有大江投资</w:t>
      </w:r>
      <w:r>
        <w:rPr>
          <w:rFonts w:hint="eastAsia"/>
          <w:sz w:val="24"/>
        </w:rPr>
        <w:t>1</w:t>
      </w:r>
      <w:r>
        <w:rPr>
          <w:sz w:val="24"/>
        </w:rPr>
        <w:t>00.00</w:t>
      </w:r>
      <w:r>
        <w:rPr>
          <w:rFonts w:ascii="宋体" w:hAnsi="宋体"/>
          <w:sz w:val="24"/>
        </w:rPr>
        <w:t>%</w:t>
      </w:r>
      <w:r>
        <w:rPr>
          <w:rFonts w:ascii="宋体" w:hAnsi="宋体" w:hint="eastAsia"/>
          <w:sz w:val="24"/>
        </w:rPr>
        <w:t>的</w:t>
      </w:r>
      <w:r w:rsidR="00EC2FA6">
        <w:rPr>
          <w:rFonts w:ascii="宋体" w:hAnsi="宋体" w:hint="eastAsia"/>
          <w:sz w:val="24"/>
        </w:rPr>
        <w:t>股权</w:t>
      </w:r>
      <w:r>
        <w:rPr>
          <w:rFonts w:ascii="宋体" w:hAnsi="宋体" w:hint="eastAsia"/>
          <w:sz w:val="24"/>
        </w:rPr>
        <w:t>，为公司的实际控制人。</w:t>
      </w:r>
    </w:p>
    <w:p w14:paraId="161B3B1E"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大江投资拟认购股份总数不低于本次非公开发行总股数的</w:t>
      </w:r>
      <w:r>
        <w:rPr>
          <w:sz w:val="24"/>
        </w:rPr>
        <w:t>20</w:t>
      </w:r>
      <w:r>
        <w:rPr>
          <w:rFonts w:ascii="宋体" w:hAnsi="宋体"/>
          <w:sz w:val="24"/>
        </w:rPr>
        <w:t>%</w:t>
      </w:r>
      <w:r>
        <w:rPr>
          <w:rFonts w:ascii="宋体" w:hAnsi="宋体" w:hint="eastAsia"/>
          <w:sz w:val="24"/>
        </w:rPr>
        <w:t>（含本数），且本次发行完成后持股比例不超过公司总股本的</w:t>
      </w:r>
      <w:r>
        <w:rPr>
          <w:rFonts w:hint="eastAsia"/>
          <w:sz w:val="24"/>
        </w:rPr>
        <w:t>30</w:t>
      </w:r>
      <w:r>
        <w:rPr>
          <w:rFonts w:ascii="宋体" w:hAnsi="宋体" w:hint="eastAsia"/>
          <w:sz w:val="24"/>
        </w:rPr>
        <w:t>%。</w:t>
      </w:r>
    </w:p>
    <w:p w14:paraId="2DB7ABF1"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假设本次非公开发行股票的实际发行数量为本次发行的上限</w:t>
      </w:r>
      <w:r>
        <w:rPr>
          <w:sz w:val="24"/>
        </w:rPr>
        <w:t>169</w:t>
      </w:r>
      <w:r>
        <w:rPr>
          <w:rFonts w:ascii="宋体" w:hAnsi="宋体"/>
          <w:sz w:val="24"/>
        </w:rPr>
        <w:t>,</w:t>
      </w:r>
      <w:r>
        <w:rPr>
          <w:sz w:val="24"/>
        </w:rPr>
        <w:t>310</w:t>
      </w:r>
      <w:r>
        <w:rPr>
          <w:rFonts w:ascii="宋体" w:hAnsi="宋体"/>
          <w:sz w:val="24"/>
        </w:rPr>
        <w:t>,</w:t>
      </w:r>
      <w:r>
        <w:rPr>
          <w:sz w:val="24"/>
        </w:rPr>
        <w:t>869</w:t>
      </w:r>
      <w:r>
        <w:rPr>
          <w:rFonts w:ascii="宋体" w:hAnsi="宋体" w:hint="eastAsia"/>
          <w:sz w:val="24"/>
        </w:rPr>
        <w:t>股，并按照大江投资认购下限计算，本次发行完成后大江投资持股比例为</w:t>
      </w:r>
      <w:r>
        <w:rPr>
          <w:rFonts w:hint="eastAsia"/>
          <w:sz w:val="24"/>
        </w:rPr>
        <w:t>1</w:t>
      </w:r>
      <w:r>
        <w:rPr>
          <w:sz w:val="24"/>
        </w:rPr>
        <w:t>9</w:t>
      </w:r>
      <w:r>
        <w:rPr>
          <w:rFonts w:ascii="宋体" w:hAnsi="宋体"/>
          <w:sz w:val="24"/>
        </w:rPr>
        <w:t>.</w:t>
      </w:r>
      <w:r>
        <w:rPr>
          <w:sz w:val="24"/>
        </w:rPr>
        <w:t>84</w:t>
      </w:r>
      <w:r>
        <w:rPr>
          <w:rFonts w:ascii="宋体" w:hAnsi="宋体"/>
          <w:sz w:val="24"/>
        </w:rPr>
        <w:t>%</w:t>
      </w:r>
      <w:r>
        <w:rPr>
          <w:rFonts w:ascii="宋体" w:hAnsi="宋体" w:hint="eastAsia"/>
          <w:sz w:val="24"/>
        </w:rPr>
        <w:t>，公司的控股股东仍为大江投资，实际控制人为铜陵经济技术开发区管理委员会。因此，本次发行不会导致公司控制权发生变化。</w:t>
      </w:r>
      <w:bookmarkStart w:id="35" w:name="_Toc512526898"/>
    </w:p>
    <w:p w14:paraId="7A4BFF4F" w14:textId="77777777" w:rsidR="00D26039" w:rsidRDefault="00B30650">
      <w:pPr>
        <w:keepNext/>
        <w:keepLines/>
        <w:autoSpaceDE w:val="0"/>
        <w:spacing w:beforeLines="50" w:before="156" w:afterLines="50" w:after="156" w:line="360" w:lineRule="auto"/>
        <w:outlineLvl w:val="1"/>
        <w:rPr>
          <w:rFonts w:eastAsia="黑体"/>
          <w:b/>
          <w:bCs/>
          <w:kern w:val="0"/>
          <w:sz w:val="28"/>
          <w:szCs w:val="32"/>
        </w:rPr>
      </w:pPr>
      <w:bookmarkStart w:id="36" w:name="_Toc111905402"/>
      <w:r>
        <w:rPr>
          <w:rFonts w:eastAsia="黑体"/>
          <w:b/>
          <w:bCs/>
          <w:kern w:val="0"/>
          <w:sz w:val="28"/>
          <w:szCs w:val="32"/>
        </w:rPr>
        <w:t>八、本次</w:t>
      </w:r>
      <w:r>
        <w:rPr>
          <w:rFonts w:eastAsia="黑体" w:hint="eastAsia"/>
          <w:b/>
          <w:bCs/>
          <w:kern w:val="0"/>
          <w:sz w:val="28"/>
          <w:szCs w:val="32"/>
        </w:rPr>
        <w:t>非公开发行股票的审批</w:t>
      </w:r>
      <w:r>
        <w:rPr>
          <w:rFonts w:eastAsia="黑体"/>
          <w:b/>
          <w:bCs/>
          <w:kern w:val="0"/>
          <w:sz w:val="28"/>
          <w:szCs w:val="32"/>
        </w:rPr>
        <w:t>程序</w:t>
      </w:r>
      <w:bookmarkEnd w:id="35"/>
      <w:bookmarkEnd w:id="36"/>
    </w:p>
    <w:p w14:paraId="508E73D5"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（一）已履行的批准程序</w:t>
      </w:r>
    </w:p>
    <w:p w14:paraId="03FE8F38" w14:textId="62A044AE" w:rsidR="00D26039" w:rsidRDefault="00B30650">
      <w:pPr>
        <w:spacing w:beforeLines="50" w:before="156" w:afterLines="50" w:after="156" w:line="360" w:lineRule="auto"/>
        <w:ind w:firstLineChars="200" w:firstLine="480"/>
        <w:rPr>
          <w:rFonts w:ascii="宋体" w:hAnsi="宋体"/>
          <w:sz w:val="24"/>
        </w:rPr>
      </w:pPr>
      <w:r w:rsidRPr="005150E9">
        <w:rPr>
          <w:sz w:val="24"/>
        </w:rPr>
        <w:t>2022</w:t>
      </w:r>
      <w:r w:rsidRPr="005150E9">
        <w:rPr>
          <w:sz w:val="24"/>
        </w:rPr>
        <w:t>年</w:t>
      </w:r>
      <w:r w:rsidRPr="005150E9">
        <w:rPr>
          <w:sz w:val="24"/>
        </w:rPr>
        <w:t>8</w:t>
      </w:r>
      <w:r w:rsidRPr="005150E9">
        <w:rPr>
          <w:sz w:val="24"/>
        </w:rPr>
        <w:t>月</w:t>
      </w:r>
      <w:r w:rsidR="00D47A78" w:rsidRPr="005150E9">
        <w:rPr>
          <w:sz w:val="24"/>
        </w:rPr>
        <w:t>30</w:t>
      </w:r>
      <w:r w:rsidRPr="005150E9">
        <w:rPr>
          <w:sz w:val="24"/>
        </w:rPr>
        <w:t>日</w:t>
      </w:r>
      <w:r>
        <w:rPr>
          <w:rFonts w:ascii="宋体" w:hAnsi="宋体" w:hint="eastAsia"/>
          <w:sz w:val="24"/>
        </w:rPr>
        <w:t>，安徽铜峰电子股份有限公司召开第九届董事会第十三次会议，审议通过本次非公开发行等相关事项。</w:t>
      </w:r>
    </w:p>
    <w:p w14:paraId="57C90CD7"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（二）尚需履行的批准程序</w:t>
      </w:r>
    </w:p>
    <w:p w14:paraId="56FE8878"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根据有关法律法规等规定，</w:t>
      </w:r>
      <w:r>
        <w:rPr>
          <w:kern w:val="0"/>
          <w:sz w:val="24"/>
        </w:rPr>
        <w:t>本次非公开发行股票的方案</w:t>
      </w:r>
      <w:r>
        <w:rPr>
          <w:rFonts w:hint="eastAsia"/>
          <w:kern w:val="0"/>
          <w:sz w:val="24"/>
        </w:rPr>
        <w:t>尚需有权国资审批单位批准、</w:t>
      </w:r>
      <w:r>
        <w:rPr>
          <w:kern w:val="0"/>
          <w:sz w:val="24"/>
        </w:rPr>
        <w:t>公司股东大会</w:t>
      </w:r>
      <w:r>
        <w:rPr>
          <w:rFonts w:hint="eastAsia"/>
          <w:kern w:val="0"/>
          <w:sz w:val="24"/>
        </w:rPr>
        <w:t>审议通过</w:t>
      </w:r>
      <w:r>
        <w:rPr>
          <w:rFonts w:ascii="宋体" w:hAnsi="宋体" w:hint="eastAsia"/>
          <w:sz w:val="24"/>
        </w:rPr>
        <w:t>，并需经过中国证监会的核准后方可实施。</w:t>
      </w:r>
    </w:p>
    <w:p w14:paraId="7DC640CD" w14:textId="77777777" w:rsidR="00D26039" w:rsidRDefault="00B30650">
      <w:pPr>
        <w:spacing w:beforeLines="50" w:before="156" w:afterLines="50" w:after="156" w:line="360" w:lineRule="auto"/>
        <w:ind w:firstLineChars="200" w:firstLine="480"/>
        <w:rPr>
          <w:rFonts w:ascii="宋体" w:hAnsi="宋体"/>
          <w:sz w:val="24"/>
        </w:rPr>
      </w:pPr>
      <w:r>
        <w:rPr>
          <w:rFonts w:ascii="宋体" w:hAnsi="宋体" w:hint="eastAsia"/>
          <w:sz w:val="24"/>
        </w:rPr>
        <w:t>在取得中国证监会核准后，公司将向上海证券交易所和中国证券登记结算有限责任公司上海分公司申请办理股票登记、发行和上市事宜，完成本次非公开发行全部呈报批准程序。</w:t>
      </w:r>
    </w:p>
    <w:p w14:paraId="39B0F72D" w14:textId="77777777" w:rsidR="00D26039" w:rsidRDefault="00D26039">
      <w:pPr>
        <w:pStyle w:val="1"/>
        <w:autoSpaceDE w:val="0"/>
        <w:spacing w:beforeLines="50" w:before="156" w:afterLines="50" w:after="156" w:line="360" w:lineRule="auto"/>
        <w:sectPr w:rsidR="00D26039">
          <w:pgSz w:w="11906" w:h="16838"/>
          <w:pgMar w:top="1440" w:right="1800" w:bottom="1440" w:left="1800" w:header="851" w:footer="992" w:gutter="0"/>
          <w:cols w:space="425"/>
          <w:docGrid w:type="lines" w:linePitch="312"/>
        </w:sectPr>
      </w:pPr>
    </w:p>
    <w:p w14:paraId="5507592E" w14:textId="77777777" w:rsidR="00D26039" w:rsidRDefault="00B30650">
      <w:pPr>
        <w:pStyle w:val="1"/>
        <w:autoSpaceDE w:val="0"/>
        <w:spacing w:beforeLines="50" w:before="156" w:afterLines="50" w:after="156" w:line="360" w:lineRule="auto"/>
      </w:pPr>
      <w:bookmarkStart w:id="37" w:name="_Toc111905403"/>
      <w:r>
        <w:rPr>
          <w:rFonts w:hint="eastAsia"/>
        </w:rPr>
        <w:lastRenderedPageBreak/>
        <w:t>第二节</w:t>
      </w:r>
      <w:r>
        <w:t xml:space="preserve">  </w:t>
      </w:r>
      <w:r>
        <w:rPr>
          <w:rFonts w:hint="eastAsia"/>
        </w:rPr>
        <w:t>发行对象基本情况</w:t>
      </w:r>
      <w:bookmarkEnd w:id="37"/>
    </w:p>
    <w:p w14:paraId="15F51FC4" w14:textId="77777777" w:rsidR="00D26039" w:rsidRDefault="00B30650">
      <w:pPr>
        <w:spacing w:beforeLines="50" w:before="156"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本次非公开发行的发行对象为包括大江投资在内的不超过</w:t>
      </w:r>
      <w:r>
        <w:rPr>
          <w:rFonts w:eastAsiaTheme="minorEastAsia"/>
          <w:sz w:val="24"/>
        </w:rPr>
        <w:t>35</w:t>
      </w:r>
      <w:proofErr w:type="gramStart"/>
      <w:r>
        <w:rPr>
          <w:rFonts w:asciiTheme="minorEastAsia" w:eastAsiaTheme="minorEastAsia" w:hAnsiTheme="minorEastAsia" w:hint="eastAsia"/>
          <w:sz w:val="24"/>
        </w:rPr>
        <w:t>名特定</w:t>
      </w:r>
      <w:proofErr w:type="gramEnd"/>
      <w:r>
        <w:rPr>
          <w:rFonts w:asciiTheme="minorEastAsia" w:eastAsiaTheme="minorEastAsia" w:hAnsiTheme="minorEastAsia" w:hint="eastAsia"/>
          <w:sz w:val="24"/>
        </w:rPr>
        <w:t>投资者。其中，大江投资为公司控股股东。</w:t>
      </w:r>
    </w:p>
    <w:p w14:paraId="77D064D0" w14:textId="77777777" w:rsidR="00D26039" w:rsidRDefault="00B30650">
      <w:pPr>
        <w:pStyle w:val="2"/>
        <w:autoSpaceDE w:val="0"/>
        <w:spacing w:beforeLines="50" w:before="156" w:afterLines="50" w:after="156" w:line="360" w:lineRule="auto"/>
        <w:rPr>
          <w:rFonts w:ascii="Times New Roman" w:hAnsi="Times New Roman"/>
          <w:szCs w:val="28"/>
        </w:rPr>
      </w:pPr>
      <w:bookmarkStart w:id="38" w:name="_Toc111905404"/>
      <w:r>
        <w:rPr>
          <w:rFonts w:ascii="Times New Roman" w:hAnsi="Times New Roman" w:hint="eastAsia"/>
          <w:szCs w:val="28"/>
        </w:rPr>
        <w:t>一、基本信息</w:t>
      </w:r>
      <w:bookmarkEnd w:id="38"/>
    </w:p>
    <w:tbl>
      <w:tblPr>
        <w:tblW w:w="7833"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979"/>
        <w:gridCol w:w="5854"/>
      </w:tblGrid>
      <w:tr w:rsidR="00D26039" w14:paraId="50D020F5" w14:textId="77777777">
        <w:trPr>
          <w:trHeight w:val="382"/>
          <w:jc w:val="center"/>
        </w:trPr>
        <w:tc>
          <w:tcPr>
            <w:tcW w:w="1979" w:type="dxa"/>
            <w:vAlign w:val="center"/>
          </w:tcPr>
          <w:p w14:paraId="10B86BC3" w14:textId="77777777" w:rsidR="00D26039" w:rsidRDefault="00B30650">
            <w:pPr>
              <w:autoSpaceDE w:val="0"/>
              <w:rPr>
                <w:bCs/>
                <w:szCs w:val="21"/>
              </w:rPr>
            </w:pPr>
            <w:bookmarkStart w:id="39" w:name="_Hlk69410482"/>
            <w:r>
              <w:rPr>
                <w:bCs/>
                <w:szCs w:val="21"/>
              </w:rPr>
              <w:t>名称</w:t>
            </w:r>
          </w:p>
        </w:tc>
        <w:tc>
          <w:tcPr>
            <w:tcW w:w="5854" w:type="dxa"/>
            <w:vAlign w:val="center"/>
          </w:tcPr>
          <w:p w14:paraId="0E0AD669" w14:textId="77777777" w:rsidR="00D26039" w:rsidRDefault="00B30650">
            <w:pPr>
              <w:autoSpaceDE w:val="0"/>
              <w:rPr>
                <w:rFonts w:ascii="宋体" w:hAnsi="宋体"/>
                <w:szCs w:val="21"/>
              </w:rPr>
            </w:pPr>
            <w:r>
              <w:rPr>
                <w:rFonts w:ascii="宋体" w:hAnsi="宋体" w:hint="eastAsia"/>
                <w:color w:val="000000"/>
                <w:szCs w:val="21"/>
              </w:rPr>
              <w:t>铜陵大江投资控股有限公司</w:t>
            </w:r>
          </w:p>
        </w:tc>
      </w:tr>
      <w:tr w:rsidR="00D26039" w14:paraId="6E8E6570" w14:textId="77777777">
        <w:trPr>
          <w:trHeight w:val="382"/>
          <w:jc w:val="center"/>
        </w:trPr>
        <w:tc>
          <w:tcPr>
            <w:tcW w:w="1979" w:type="dxa"/>
            <w:vAlign w:val="center"/>
          </w:tcPr>
          <w:p w14:paraId="5B8D344A" w14:textId="77777777" w:rsidR="00D26039" w:rsidRDefault="00B30650">
            <w:pPr>
              <w:autoSpaceDE w:val="0"/>
              <w:rPr>
                <w:bCs/>
                <w:szCs w:val="21"/>
              </w:rPr>
            </w:pPr>
            <w:r>
              <w:rPr>
                <w:rFonts w:hint="eastAsia"/>
                <w:bCs/>
                <w:szCs w:val="21"/>
              </w:rPr>
              <w:t>统一社会信用代码</w:t>
            </w:r>
          </w:p>
        </w:tc>
        <w:tc>
          <w:tcPr>
            <w:tcW w:w="5854" w:type="dxa"/>
            <w:vAlign w:val="center"/>
          </w:tcPr>
          <w:p w14:paraId="531BDA31" w14:textId="77777777" w:rsidR="00D26039" w:rsidRDefault="00B30650">
            <w:pPr>
              <w:autoSpaceDE w:val="0"/>
              <w:rPr>
                <w:rFonts w:ascii="宋体" w:hAnsi="宋体"/>
                <w:szCs w:val="21"/>
              </w:rPr>
            </w:pPr>
            <w:r>
              <w:rPr>
                <w:rFonts w:hint="eastAsia"/>
                <w:szCs w:val="21"/>
              </w:rPr>
              <w:t>91340700705094254A</w:t>
            </w:r>
          </w:p>
        </w:tc>
      </w:tr>
      <w:tr w:rsidR="00D26039" w14:paraId="5C269269" w14:textId="77777777">
        <w:trPr>
          <w:trHeight w:val="382"/>
          <w:jc w:val="center"/>
        </w:trPr>
        <w:tc>
          <w:tcPr>
            <w:tcW w:w="1979" w:type="dxa"/>
            <w:vAlign w:val="center"/>
          </w:tcPr>
          <w:p w14:paraId="67D65925" w14:textId="77777777" w:rsidR="00D26039" w:rsidRDefault="00B30650">
            <w:pPr>
              <w:autoSpaceDE w:val="0"/>
              <w:rPr>
                <w:bCs/>
                <w:szCs w:val="21"/>
              </w:rPr>
            </w:pPr>
            <w:r>
              <w:rPr>
                <w:rFonts w:hint="eastAsia"/>
                <w:bCs/>
                <w:szCs w:val="21"/>
              </w:rPr>
              <w:t>住所</w:t>
            </w:r>
          </w:p>
        </w:tc>
        <w:sdt>
          <w:sdtPr>
            <w:rPr>
              <w:szCs w:val="21"/>
            </w:rPr>
            <w:alias w:val="公司注册地址"/>
            <w:tag w:val="_GBC_176149bee7bf41819b29097eb854f331"/>
            <w:id w:val="684489214"/>
          </w:sdtPr>
          <w:sdtEndPr/>
          <w:sdtContent>
            <w:tc>
              <w:tcPr>
                <w:tcW w:w="5854" w:type="dxa"/>
                <w:vAlign w:val="center"/>
              </w:tcPr>
              <w:p w14:paraId="2526CA2B" w14:textId="77777777" w:rsidR="00D26039" w:rsidRDefault="00B30650">
                <w:pPr>
                  <w:autoSpaceDE w:val="0"/>
                  <w:rPr>
                    <w:rFonts w:ascii="宋体" w:hAnsi="宋体"/>
                    <w:szCs w:val="21"/>
                  </w:rPr>
                </w:pPr>
                <w:r>
                  <w:rPr>
                    <w:rFonts w:ascii="宋体" w:hAnsi="宋体" w:hint="eastAsia"/>
                    <w:szCs w:val="21"/>
                  </w:rPr>
                  <w:t>安徽省铜陵市翠湖二路西段</w:t>
                </w:r>
                <w:r>
                  <w:rPr>
                    <w:rFonts w:hint="eastAsia"/>
                    <w:szCs w:val="21"/>
                  </w:rPr>
                  <w:t>1258</w:t>
                </w:r>
                <w:r>
                  <w:rPr>
                    <w:rFonts w:ascii="宋体" w:hAnsi="宋体" w:hint="eastAsia"/>
                    <w:szCs w:val="21"/>
                  </w:rPr>
                  <w:t>号</w:t>
                </w:r>
              </w:p>
            </w:tc>
          </w:sdtContent>
        </w:sdt>
      </w:tr>
      <w:tr w:rsidR="00D26039" w14:paraId="3417B5B5" w14:textId="77777777">
        <w:trPr>
          <w:trHeight w:val="382"/>
          <w:jc w:val="center"/>
        </w:trPr>
        <w:tc>
          <w:tcPr>
            <w:tcW w:w="1979" w:type="dxa"/>
            <w:vAlign w:val="center"/>
          </w:tcPr>
          <w:p w14:paraId="4ECBA83A" w14:textId="77777777" w:rsidR="00D26039" w:rsidRDefault="00B30650">
            <w:pPr>
              <w:autoSpaceDE w:val="0"/>
              <w:rPr>
                <w:bCs/>
                <w:szCs w:val="21"/>
              </w:rPr>
            </w:pPr>
            <w:r>
              <w:rPr>
                <w:bCs/>
                <w:szCs w:val="21"/>
              </w:rPr>
              <w:t>法定代表人</w:t>
            </w:r>
          </w:p>
        </w:tc>
        <w:tc>
          <w:tcPr>
            <w:tcW w:w="5854" w:type="dxa"/>
            <w:vAlign w:val="center"/>
          </w:tcPr>
          <w:p w14:paraId="760189FD" w14:textId="77777777" w:rsidR="00D26039" w:rsidRDefault="00B30650">
            <w:pPr>
              <w:autoSpaceDE w:val="0"/>
              <w:rPr>
                <w:rFonts w:ascii="宋体" w:hAnsi="宋体"/>
                <w:szCs w:val="21"/>
              </w:rPr>
            </w:pPr>
            <w:r>
              <w:rPr>
                <w:rFonts w:ascii="宋体" w:hAnsi="宋体" w:hint="eastAsia"/>
                <w:szCs w:val="21"/>
              </w:rPr>
              <w:t>刘奇</w:t>
            </w:r>
          </w:p>
        </w:tc>
      </w:tr>
      <w:tr w:rsidR="00D26039" w14:paraId="1CDB4AE7" w14:textId="77777777">
        <w:trPr>
          <w:trHeight w:val="382"/>
          <w:jc w:val="center"/>
        </w:trPr>
        <w:tc>
          <w:tcPr>
            <w:tcW w:w="1979" w:type="dxa"/>
            <w:vAlign w:val="center"/>
          </w:tcPr>
          <w:p w14:paraId="0CA2B1E8" w14:textId="77777777" w:rsidR="00D26039" w:rsidRDefault="00B30650">
            <w:pPr>
              <w:autoSpaceDE w:val="0"/>
              <w:rPr>
                <w:bCs/>
                <w:szCs w:val="21"/>
              </w:rPr>
            </w:pPr>
            <w:r>
              <w:rPr>
                <w:rFonts w:hint="eastAsia"/>
                <w:bCs/>
                <w:szCs w:val="21"/>
              </w:rPr>
              <w:t>注册资本</w:t>
            </w:r>
          </w:p>
        </w:tc>
        <w:tc>
          <w:tcPr>
            <w:tcW w:w="5854" w:type="dxa"/>
            <w:vAlign w:val="center"/>
          </w:tcPr>
          <w:p w14:paraId="588FB9E4" w14:textId="77777777" w:rsidR="00D26039" w:rsidRDefault="00B30650">
            <w:pPr>
              <w:autoSpaceDE w:val="0"/>
              <w:rPr>
                <w:rFonts w:ascii="宋体" w:hAnsi="宋体"/>
                <w:szCs w:val="21"/>
              </w:rPr>
            </w:pPr>
            <w:r>
              <w:rPr>
                <w:rFonts w:hint="eastAsia"/>
                <w:szCs w:val="21"/>
              </w:rPr>
              <w:t>200</w:t>
            </w:r>
            <w:r>
              <w:rPr>
                <w:rFonts w:ascii="宋体" w:hAnsi="宋体"/>
                <w:szCs w:val="21"/>
              </w:rPr>
              <w:t>,</w:t>
            </w:r>
            <w:r>
              <w:rPr>
                <w:rFonts w:hint="eastAsia"/>
                <w:szCs w:val="21"/>
              </w:rPr>
              <w:t>000</w:t>
            </w:r>
            <w:r>
              <w:rPr>
                <w:rFonts w:ascii="宋体" w:hAnsi="宋体" w:hint="eastAsia"/>
                <w:szCs w:val="21"/>
              </w:rPr>
              <w:t>.</w:t>
            </w:r>
            <w:r>
              <w:rPr>
                <w:rFonts w:hint="eastAsia"/>
                <w:szCs w:val="21"/>
              </w:rPr>
              <w:t>00</w:t>
            </w:r>
            <w:r>
              <w:rPr>
                <w:rFonts w:ascii="宋体" w:hAnsi="宋体" w:hint="eastAsia"/>
                <w:szCs w:val="21"/>
              </w:rPr>
              <w:t>万人民币</w:t>
            </w:r>
          </w:p>
        </w:tc>
      </w:tr>
      <w:tr w:rsidR="00D26039" w14:paraId="2E040294" w14:textId="77777777">
        <w:trPr>
          <w:trHeight w:val="382"/>
          <w:jc w:val="center"/>
        </w:trPr>
        <w:tc>
          <w:tcPr>
            <w:tcW w:w="1979" w:type="dxa"/>
            <w:vAlign w:val="center"/>
          </w:tcPr>
          <w:p w14:paraId="23D5490D" w14:textId="77777777" w:rsidR="00D26039" w:rsidRDefault="00B30650">
            <w:pPr>
              <w:autoSpaceDE w:val="0"/>
              <w:rPr>
                <w:bCs/>
                <w:szCs w:val="21"/>
              </w:rPr>
            </w:pPr>
            <w:r>
              <w:rPr>
                <w:rFonts w:hint="eastAsia"/>
                <w:bCs/>
                <w:szCs w:val="21"/>
              </w:rPr>
              <w:t>公司类型</w:t>
            </w:r>
          </w:p>
        </w:tc>
        <w:tc>
          <w:tcPr>
            <w:tcW w:w="5854" w:type="dxa"/>
            <w:vAlign w:val="center"/>
          </w:tcPr>
          <w:p w14:paraId="486035FD" w14:textId="77777777" w:rsidR="00D26039" w:rsidRDefault="00B30650">
            <w:pPr>
              <w:autoSpaceDE w:val="0"/>
              <w:rPr>
                <w:rFonts w:ascii="宋体" w:hAnsi="宋体"/>
                <w:szCs w:val="21"/>
              </w:rPr>
            </w:pPr>
            <w:r>
              <w:rPr>
                <w:rFonts w:ascii="宋体" w:hAnsi="宋体" w:hint="eastAsia"/>
                <w:szCs w:val="21"/>
              </w:rPr>
              <w:t>有限责任公司（国有独资）</w:t>
            </w:r>
          </w:p>
        </w:tc>
      </w:tr>
      <w:tr w:rsidR="00D26039" w14:paraId="6A923D78" w14:textId="77777777">
        <w:trPr>
          <w:trHeight w:val="382"/>
          <w:jc w:val="center"/>
        </w:trPr>
        <w:tc>
          <w:tcPr>
            <w:tcW w:w="1979" w:type="dxa"/>
            <w:vAlign w:val="center"/>
          </w:tcPr>
          <w:p w14:paraId="6AE3AF2C" w14:textId="77777777" w:rsidR="00D26039" w:rsidRDefault="00B30650">
            <w:pPr>
              <w:autoSpaceDE w:val="0"/>
              <w:rPr>
                <w:bCs/>
                <w:szCs w:val="21"/>
              </w:rPr>
            </w:pPr>
            <w:r>
              <w:rPr>
                <w:rFonts w:hint="eastAsia"/>
                <w:bCs/>
                <w:szCs w:val="21"/>
              </w:rPr>
              <w:t>成立日期</w:t>
            </w:r>
          </w:p>
        </w:tc>
        <w:tc>
          <w:tcPr>
            <w:tcW w:w="5854" w:type="dxa"/>
            <w:vAlign w:val="center"/>
          </w:tcPr>
          <w:p w14:paraId="3BC408CC" w14:textId="77777777" w:rsidR="00D26039" w:rsidRDefault="00B30650">
            <w:pPr>
              <w:autoSpaceDE w:val="0"/>
              <w:rPr>
                <w:rFonts w:ascii="宋体" w:hAnsi="宋体"/>
                <w:szCs w:val="21"/>
              </w:rPr>
            </w:pPr>
            <w:r>
              <w:rPr>
                <w:rFonts w:hint="eastAsia"/>
                <w:szCs w:val="21"/>
              </w:rPr>
              <w:t>1999</w:t>
            </w:r>
            <w:r>
              <w:rPr>
                <w:rFonts w:ascii="宋体" w:hAnsi="宋体" w:hint="eastAsia"/>
                <w:szCs w:val="21"/>
              </w:rPr>
              <w:t>年</w:t>
            </w:r>
            <w:r>
              <w:rPr>
                <w:rFonts w:hint="eastAsia"/>
                <w:szCs w:val="21"/>
              </w:rPr>
              <w:t>7</w:t>
            </w:r>
            <w:r>
              <w:rPr>
                <w:rFonts w:ascii="宋体" w:hAnsi="宋体" w:hint="eastAsia"/>
                <w:szCs w:val="21"/>
              </w:rPr>
              <w:t>月</w:t>
            </w:r>
            <w:r>
              <w:rPr>
                <w:rFonts w:hint="eastAsia"/>
                <w:szCs w:val="21"/>
              </w:rPr>
              <w:t>6</w:t>
            </w:r>
            <w:r>
              <w:rPr>
                <w:rFonts w:ascii="宋体" w:hAnsi="宋体" w:hint="eastAsia"/>
                <w:szCs w:val="21"/>
              </w:rPr>
              <w:t>日</w:t>
            </w:r>
          </w:p>
        </w:tc>
      </w:tr>
      <w:tr w:rsidR="00D26039" w14:paraId="7479BA83" w14:textId="77777777">
        <w:trPr>
          <w:trHeight w:val="382"/>
          <w:jc w:val="center"/>
        </w:trPr>
        <w:tc>
          <w:tcPr>
            <w:tcW w:w="1979" w:type="dxa"/>
            <w:vAlign w:val="center"/>
          </w:tcPr>
          <w:p w14:paraId="074D09C0" w14:textId="77777777" w:rsidR="00D26039" w:rsidRDefault="00B30650">
            <w:pPr>
              <w:autoSpaceDE w:val="0"/>
              <w:rPr>
                <w:bCs/>
                <w:szCs w:val="21"/>
              </w:rPr>
            </w:pPr>
            <w:r>
              <w:rPr>
                <w:rFonts w:hint="eastAsia"/>
                <w:bCs/>
                <w:szCs w:val="21"/>
              </w:rPr>
              <w:t>营业期限</w:t>
            </w:r>
          </w:p>
        </w:tc>
        <w:tc>
          <w:tcPr>
            <w:tcW w:w="5854" w:type="dxa"/>
            <w:vAlign w:val="center"/>
          </w:tcPr>
          <w:p w14:paraId="317BC678" w14:textId="77777777" w:rsidR="00D26039" w:rsidRDefault="00B30650">
            <w:pPr>
              <w:autoSpaceDE w:val="0"/>
              <w:rPr>
                <w:rFonts w:ascii="宋体" w:hAnsi="宋体"/>
                <w:szCs w:val="21"/>
              </w:rPr>
            </w:pPr>
            <w:r>
              <w:rPr>
                <w:rFonts w:hint="eastAsia"/>
                <w:szCs w:val="21"/>
              </w:rPr>
              <w:t>1999</w:t>
            </w:r>
            <w:r>
              <w:rPr>
                <w:rFonts w:ascii="宋体" w:hAnsi="宋体" w:hint="eastAsia"/>
                <w:szCs w:val="21"/>
              </w:rPr>
              <w:t>年</w:t>
            </w:r>
            <w:r>
              <w:rPr>
                <w:rFonts w:hint="eastAsia"/>
                <w:szCs w:val="21"/>
              </w:rPr>
              <w:t>7</w:t>
            </w:r>
            <w:r>
              <w:rPr>
                <w:rFonts w:ascii="宋体" w:hAnsi="宋体" w:hint="eastAsia"/>
                <w:szCs w:val="21"/>
              </w:rPr>
              <w:t>月</w:t>
            </w:r>
            <w:r>
              <w:rPr>
                <w:rFonts w:hint="eastAsia"/>
                <w:szCs w:val="21"/>
              </w:rPr>
              <w:t>6</w:t>
            </w:r>
            <w:r>
              <w:rPr>
                <w:rFonts w:ascii="宋体" w:hAnsi="宋体" w:hint="eastAsia"/>
                <w:szCs w:val="21"/>
              </w:rPr>
              <w:t>日</w:t>
            </w:r>
            <w:r>
              <w:rPr>
                <w:rFonts w:ascii="宋体" w:hAnsi="宋体"/>
                <w:szCs w:val="21"/>
              </w:rPr>
              <w:t>至无固定期限</w:t>
            </w:r>
          </w:p>
        </w:tc>
      </w:tr>
      <w:tr w:rsidR="00D26039" w14:paraId="7D435C95" w14:textId="77777777">
        <w:trPr>
          <w:trHeight w:val="382"/>
          <w:jc w:val="center"/>
        </w:trPr>
        <w:tc>
          <w:tcPr>
            <w:tcW w:w="1979" w:type="dxa"/>
            <w:vAlign w:val="center"/>
          </w:tcPr>
          <w:p w14:paraId="7CF53A62" w14:textId="77777777" w:rsidR="00D26039" w:rsidRDefault="00B30650">
            <w:pPr>
              <w:autoSpaceDE w:val="0"/>
              <w:rPr>
                <w:bCs/>
                <w:szCs w:val="21"/>
              </w:rPr>
            </w:pPr>
            <w:r>
              <w:rPr>
                <w:bCs/>
                <w:szCs w:val="21"/>
              </w:rPr>
              <w:t>经营范围</w:t>
            </w:r>
          </w:p>
        </w:tc>
        <w:tc>
          <w:tcPr>
            <w:tcW w:w="5854" w:type="dxa"/>
            <w:vAlign w:val="center"/>
          </w:tcPr>
          <w:p w14:paraId="66CDB91C" w14:textId="77777777" w:rsidR="00D26039" w:rsidRDefault="00B30650">
            <w:pPr>
              <w:autoSpaceDE w:val="0"/>
              <w:rPr>
                <w:szCs w:val="21"/>
              </w:rPr>
            </w:pPr>
            <w:r>
              <w:rPr>
                <w:rFonts w:ascii="宋体" w:hAnsi="宋体" w:hint="eastAsia"/>
                <w:szCs w:val="21"/>
              </w:rPr>
              <w:t>产业投资，新城区土地开发，基础设施建设和城市道路建设投资，房地产开发及销售，建筑材料采购与销售，房屋出租，信息服务。（经营范围中涉及资质的均凭有效资质证书经营）</w:t>
            </w:r>
          </w:p>
        </w:tc>
      </w:tr>
    </w:tbl>
    <w:p w14:paraId="1C43B22C" w14:textId="77777777" w:rsidR="00D26039" w:rsidRDefault="00B30650">
      <w:pPr>
        <w:pStyle w:val="2"/>
        <w:autoSpaceDE w:val="0"/>
        <w:spacing w:beforeLines="50" w:before="156" w:afterLines="50" w:after="156" w:line="360" w:lineRule="auto"/>
        <w:rPr>
          <w:rFonts w:ascii="Times New Roman" w:hAnsi="Times New Roman"/>
          <w:szCs w:val="28"/>
        </w:rPr>
      </w:pPr>
      <w:bookmarkStart w:id="40" w:name="_Toc111905405"/>
      <w:bookmarkEnd w:id="39"/>
      <w:r>
        <w:rPr>
          <w:rFonts w:ascii="Times New Roman" w:hAnsi="Times New Roman" w:hint="eastAsia"/>
          <w:szCs w:val="28"/>
        </w:rPr>
        <w:t>二、股权结构及控制关系</w:t>
      </w:r>
      <w:bookmarkEnd w:id="40"/>
    </w:p>
    <w:p w14:paraId="6C170724" w14:textId="77777777" w:rsidR="00D26039" w:rsidRDefault="00B30650">
      <w:pPr>
        <w:spacing w:beforeLines="50" w:before="156"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截至本预案公告日，大江投资的股权结构及控制关系如下：</w:t>
      </w:r>
    </w:p>
    <w:p w14:paraId="4A79E305" w14:textId="77777777" w:rsidR="00D26039" w:rsidRDefault="00B30650">
      <w:pPr>
        <w:autoSpaceDE w:val="0"/>
        <w:adjustRightInd w:val="0"/>
        <w:spacing w:line="360" w:lineRule="auto"/>
        <w:jc w:val="center"/>
        <w:rPr>
          <w:kern w:val="0"/>
          <w:sz w:val="24"/>
        </w:rPr>
      </w:pPr>
      <w:r>
        <w:rPr>
          <w:noProof/>
          <w:kern w:val="0"/>
          <w:sz w:val="24"/>
        </w:rPr>
        <w:drawing>
          <wp:inline distT="0" distB="0" distL="0" distR="0" wp14:anchorId="1727082C" wp14:editId="4F714EA9">
            <wp:extent cx="3320415" cy="20186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339816" cy="2030823"/>
                    </a:xfrm>
                    <a:prstGeom prst="rect">
                      <a:avLst/>
                    </a:prstGeom>
                    <a:noFill/>
                    <a:ln>
                      <a:noFill/>
                    </a:ln>
                  </pic:spPr>
                </pic:pic>
              </a:graphicData>
            </a:graphic>
          </wp:inline>
        </w:drawing>
      </w:r>
    </w:p>
    <w:p w14:paraId="410702DE" w14:textId="77777777" w:rsidR="00D26039" w:rsidRDefault="00B30650">
      <w:pPr>
        <w:pStyle w:val="2"/>
        <w:autoSpaceDE w:val="0"/>
        <w:spacing w:beforeLines="50" w:before="156" w:afterLines="50" w:after="156" w:line="360" w:lineRule="auto"/>
        <w:rPr>
          <w:rFonts w:ascii="Times New Roman" w:hAnsi="Times New Roman"/>
          <w:szCs w:val="28"/>
        </w:rPr>
      </w:pPr>
      <w:bookmarkStart w:id="41" w:name="_Toc111905406"/>
      <w:r>
        <w:rPr>
          <w:rFonts w:ascii="Times New Roman" w:hAnsi="Times New Roman" w:hint="eastAsia"/>
          <w:szCs w:val="28"/>
        </w:rPr>
        <w:t>三、大江投资的主营业务情况及最近三年业务发展情况</w:t>
      </w:r>
      <w:bookmarkEnd w:id="41"/>
    </w:p>
    <w:p w14:paraId="4505E680" w14:textId="77777777" w:rsidR="00D26039" w:rsidRDefault="00B30650">
      <w:pPr>
        <w:spacing w:beforeLines="50" w:before="156" w:afterLines="50" w:after="156" w:line="360" w:lineRule="auto"/>
        <w:ind w:firstLineChars="200" w:firstLine="480"/>
        <w:rPr>
          <w:rFonts w:eastAsiaTheme="minorEastAsia"/>
          <w:sz w:val="24"/>
        </w:rPr>
      </w:pPr>
      <w:r>
        <w:rPr>
          <w:rFonts w:eastAsiaTheme="minorEastAsia"/>
          <w:sz w:val="24"/>
        </w:rPr>
        <w:t>大江投资成立于</w:t>
      </w:r>
      <w:r>
        <w:rPr>
          <w:rFonts w:eastAsiaTheme="minorEastAsia"/>
          <w:sz w:val="24"/>
        </w:rPr>
        <w:t>1999</w:t>
      </w:r>
      <w:r>
        <w:rPr>
          <w:rFonts w:eastAsiaTheme="minorEastAsia"/>
          <w:sz w:val="24"/>
        </w:rPr>
        <w:t>年</w:t>
      </w:r>
      <w:r>
        <w:rPr>
          <w:rFonts w:eastAsiaTheme="minorEastAsia"/>
          <w:sz w:val="24"/>
        </w:rPr>
        <w:t>7</w:t>
      </w:r>
      <w:r>
        <w:rPr>
          <w:rFonts w:eastAsiaTheme="minorEastAsia"/>
          <w:sz w:val="24"/>
        </w:rPr>
        <w:t>月</w:t>
      </w:r>
      <w:r>
        <w:rPr>
          <w:rFonts w:eastAsiaTheme="minorEastAsia"/>
          <w:sz w:val="24"/>
        </w:rPr>
        <w:t>6</w:t>
      </w:r>
      <w:r>
        <w:rPr>
          <w:rFonts w:eastAsiaTheme="minorEastAsia"/>
          <w:sz w:val="24"/>
        </w:rPr>
        <w:t>日，大江投资作为铜陵经开区重点基础设施的投资建设单位，主要职能是负责经开区内的基础设施建设、土地开发整理、安</w:t>
      </w:r>
      <w:r>
        <w:rPr>
          <w:rFonts w:eastAsiaTheme="minorEastAsia"/>
          <w:sz w:val="24"/>
        </w:rPr>
        <w:lastRenderedPageBreak/>
        <w:t>居性住房及其配套设施建设与运营、污水处理和标准化厂房建设与运营等。</w:t>
      </w:r>
      <w:r>
        <w:rPr>
          <w:rFonts w:eastAsiaTheme="minorEastAsia"/>
          <w:sz w:val="24"/>
        </w:rPr>
        <w:t>2019</w:t>
      </w:r>
      <w:r>
        <w:rPr>
          <w:rFonts w:eastAsiaTheme="minorEastAsia"/>
          <w:sz w:val="24"/>
        </w:rPr>
        <w:t>年、</w:t>
      </w:r>
      <w:r>
        <w:rPr>
          <w:rFonts w:eastAsiaTheme="minorEastAsia"/>
          <w:sz w:val="24"/>
        </w:rPr>
        <w:t>2020</w:t>
      </w:r>
      <w:r>
        <w:rPr>
          <w:rFonts w:eastAsiaTheme="minorEastAsia"/>
          <w:sz w:val="24"/>
        </w:rPr>
        <w:t>年和</w:t>
      </w:r>
      <w:r>
        <w:rPr>
          <w:rFonts w:eastAsiaTheme="minorEastAsia"/>
          <w:sz w:val="24"/>
        </w:rPr>
        <w:t>2021</w:t>
      </w:r>
      <w:r>
        <w:rPr>
          <w:rFonts w:eastAsiaTheme="minorEastAsia"/>
          <w:sz w:val="24"/>
        </w:rPr>
        <w:t>年，大江投资分别实现营业总收入</w:t>
      </w:r>
      <w:r>
        <w:rPr>
          <w:rFonts w:eastAsiaTheme="minorEastAsia"/>
          <w:sz w:val="24"/>
        </w:rPr>
        <w:t>84,145.40</w:t>
      </w:r>
      <w:r>
        <w:rPr>
          <w:rFonts w:eastAsiaTheme="minorEastAsia"/>
          <w:sz w:val="24"/>
        </w:rPr>
        <w:t>万元、</w:t>
      </w:r>
      <w:r>
        <w:rPr>
          <w:rFonts w:eastAsiaTheme="minorEastAsia"/>
          <w:sz w:val="24"/>
        </w:rPr>
        <w:t>213,970.35</w:t>
      </w:r>
      <w:r>
        <w:rPr>
          <w:rFonts w:eastAsiaTheme="minorEastAsia"/>
          <w:sz w:val="24"/>
        </w:rPr>
        <w:t>万元和</w:t>
      </w:r>
      <w:r>
        <w:rPr>
          <w:rFonts w:eastAsiaTheme="minorEastAsia"/>
          <w:sz w:val="24"/>
        </w:rPr>
        <w:t>602,896.78</w:t>
      </w:r>
      <w:r>
        <w:rPr>
          <w:rFonts w:eastAsiaTheme="minorEastAsia"/>
          <w:sz w:val="24"/>
        </w:rPr>
        <w:t>万元，最近三年大江投资主营业务未发生重大变化。</w:t>
      </w:r>
    </w:p>
    <w:p w14:paraId="0E688CE7" w14:textId="77777777" w:rsidR="00D26039" w:rsidRDefault="00B30650">
      <w:pPr>
        <w:pStyle w:val="2"/>
        <w:autoSpaceDE w:val="0"/>
        <w:spacing w:beforeLines="50" w:before="156" w:afterLines="50" w:after="156" w:line="360" w:lineRule="auto"/>
        <w:rPr>
          <w:rFonts w:ascii="Times New Roman" w:hAnsi="Times New Roman"/>
          <w:szCs w:val="28"/>
        </w:rPr>
      </w:pPr>
      <w:bookmarkStart w:id="42" w:name="_Toc111905407"/>
      <w:r>
        <w:rPr>
          <w:rFonts w:ascii="Times New Roman" w:hAnsi="Times New Roman" w:hint="eastAsia"/>
          <w:szCs w:val="28"/>
        </w:rPr>
        <w:t>四、大江投资最近一年财务数据</w:t>
      </w:r>
      <w:bookmarkEnd w:id="42"/>
    </w:p>
    <w:p w14:paraId="5BF22992" w14:textId="77777777" w:rsidR="00D26039" w:rsidRDefault="00B30650">
      <w:pPr>
        <w:ind w:right="210"/>
        <w:jc w:val="right"/>
        <w:rPr>
          <w:szCs w:val="21"/>
        </w:rPr>
      </w:pPr>
      <w:r>
        <w:rPr>
          <w:szCs w:val="21"/>
        </w:rPr>
        <w:t>单位</w:t>
      </w:r>
      <w:r>
        <w:rPr>
          <w:rFonts w:hint="eastAsia"/>
          <w:szCs w:val="21"/>
        </w:rPr>
        <w:t>：</w:t>
      </w:r>
      <w:r>
        <w:rPr>
          <w:szCs w:val="21"/>
        </w:rPr>
        <w:t>万元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39"/>
        <w:gridCol w:w="4783"/>
      </w:tblGrid>
      <w:tr w:rsidR="00D26039" w14:paraId="536A0C61" w14:textId="77777777">
        <w:trPr>
          <w:trHeight w:val="397"/>
          <w:jc w:val="center"/>
        </w:trPr>
        <w:tc>
          <w:tcPr>
            <w:tcW w:w="2194" w:type="pct"/>
            <w:shd w:val="clear" w:color="auto" w:fill="auto"/>
            <w:noWrap/>
            <w:vAlign w:val="center"/>
          </w:tcPr>
          <w:p w14:paraId="7431B3F5" w14:textId="77777777" w:rsidR="00D26039" w:rsidRDefault="00B30650">
            <w:pPr>
              <w:widowControl/>
              <w:jc w:val="center"/>
              <w:rPr>
                <w:rFonts w:ascii="宋体" w:hAnsi="宋体" w:cs="宋体"/>
                <w:b/>
                <w:color w:val="000000"/>
                <w:kern w:val="0"/>
                <w:szCs w:val="21"/>
              </w:rPr>
            </w:pPr>
            <w:r>
              <w:rPr>
                <w:rFonts w:ascii="宋体" w:hAnsi="宋体" w:cs="宋体" w:hint="eastAsia"/>
                <w:b/>
                <w:color w:val="000000"/>
                <w:kern w:val="0"/>
                <w:szCs w:val="21"/>
              </w:rPr>
              <w:t>项目</w:t>
            </w:r>
          </w:p>
        </w:tc>
        <w:tc>
          <w:tcPr>
            <w:tcW w:w="2806" w:type="pct"/>
            <w:shd w:val="clear" w:color="auto" w:fill="auto"/>
            <w:noWrap/>
            <w:vAlign w:val="center"/>
          </w:tcPr>
          <w:p w14:paraId="31D1A9C1" w14:textId="77777777" w:rsidR="00D26039" w:rsidRDefault="00B30650">
            <w:pPr>
              <w:widowControl/>
              <w:jc w:val="center"/>
              <w:rPr>
                <w:b/>
                <w:color w:val="000000"/>
                <w:kern w:val="0"/>
                <w:szCs w:val="21"/>
              </w:rPr>
            </w:pPr>
            <w:r>
              <w:rPr>
                <w:b/>
                <w:color w:val="000000"/>
                <w:kern w:val="0"/>
                <w:szCs w:val="21"/>
              </w:rPr>
              <w:t>2021</w:t>
            </w:r>
            <w:r>
              <w:rPr>
                <w:rFonts w:hint="eastAsia"/>
                <w:b/>
                <w:color w:val="000000"/>
                <w:kern w:val="0"/>
                <w:szCs w:val="21"/>
              </w:rPr>
              <w:t>年</w:t>
            </w:r>
            <w:r>
              <w:rPr>
                <w:b/>
                <w:color w:val="000000"/>
                <w:kern w:val="0"/>
                <w:szCs w:val="21"/>
              </w:rPr>
              <w:t>12</w:t>
            </w:r>
            <w:r>
              <w:rPr>
                <w:rFonts w:hint="eastAsia"/>
                <w:b/>
                <w:color w:val="000000"/>
                <w:kern w:val="0"/>
                <w:szCs w:val="21"/>
              </w:rPr>
              <w:t>月</w:t>
            </w:r>
            <w:r>
              <w:rPr>
                <w:b/>
                <w:color w:val="000000"/>
                <w:kern w:val="0"/>
                <w:szCs w:val="21"/>
              </w:rPr>
              <w:t>31</w:t>
            </w:r>
            <w:r>
              <w:rPr>
                <w:rFonts w:hint="eastAsia"/>
                <w:b/>
                <w:color w:val="000000"/>
                <w:kern w:val="0"/>
                <w:szCs w:val="21"/>
              </w:rPr>
              <w:t>日</w:t>
            </w:r>
          </w:p>
        </w:tc>
      </w:tr>
      <w:tr w:rsidR="00D26039" w14:paraId="7E4ADFA2" w14:textId="77777777">
        <w:trPr>
          <w:trHeight w:val="397"/>
          <w:jc w:val="center"/>
        </w:trPr>
        <w:tc>
          <w:tcPr>
            <w:tcW w:w="2194" w:type="pct"/>
            <w:shd w:val="clear" w:color="auto" w:fill="auto"/>
            <w:noWrap/>
            <w:vAlign w:val="center"/>
          </w:tcPr>
          <w:p w14:paraId="2669D914" w14:textId="77777777" w:rsidR="00D26039" w:rsidRDefault="00B30650">
            <w:pPr>
              <w:widowControl/>
              <w:jc w:val="center"/>
              <w:rPr>
                <w:rFonts w:ascii="宋体" w:hAnsi="宋体" w:cs="宋体"/>
                <w:bCs/>
                <w:color w:val="000000"/>
                <w:kern w:val="0"/>
                <w:szCs w:val="21"/>
              </w:rPr>
            </w:pPr>
            <w:r>
              <w:rPr>
                <w:rFonts w:ascii="宋体" w:hAnsi="宋体" w:cs="宋体" w:hint="eastAsia"/>
                <w:bCs/>
                <w:color w:val="000000"/>
                <w:kern w:val="0"/>
                <w:szCs w:val="21"/>
              </w:rPr>
              <w:t>总资产</w:t>
            </w:r>
          </w:p>
        </w:tc>
        <w:tc>
          <w:tcPr>
            <w:tcW w:w="2806" w:type="pct"/>
            <w:shd w:val="clear" w:color="auto" w:fill="auto"/>
            <w:noWrap/>
            <w:vAlign w:val="center"/>
          </w:tcPr>
          <w:p w14:paraId="45B9A710" w14:textId="77777777" w:rsidR="00D26039" w:rsidRDefault="00B30650">
            <w:pPr>
              <w:jc w:val="right"/>
              <w:rPr>
                <w:rFonts w:eastAsiaTheme="minorEastAsia"/>
                <w:color w:val="000000"/>
                <w:szCs w:val="21"/>
              </w:rPr>
            </w:pPr>
            <w:r>
              <w:rPr>
                <w:rFonts w:eastAsiaTheme="minorEastAsia" w:hint="eastAsia"/>
                <w:color w:val="000000"/>
                <w:szCs w:val="21"/>
              </w:rPr>
              <w:t>1</w:t>
            </w:r>
            <w:r>
              <w:rPr>
                <w:rFonts w:eastAsiaTheme="minorEastAsia"/>
                <w:color w:val="000000"/>
                <w:szCs w:val="21"/>
              </w:rPr>
              <w:t>,946,233.68</w:t>
            </w:r>
          </w:p>
        </w:tc>
      </w:tr>
      <w:tr w:rsidR="00D26039" w14:paraId="2BCC1AED" w14:textId="77777777">
        <w:trPr>
          <w:trHeight w:val="397"/>
          <w:jc w:val="center"/>
        </w:trPr>
        <w:tc>
          <w:tcPr>
            <w:tcW w:w="2194" w:type="pct"/>
            <w:shd w:val="clear" w:color="auto" w:fill="auto"/>
            <w:noWrap/>
            <w:vAlign w:val="center"/>
          </w:tcPr>
          <w:p w14:paraId="19724D5A" w14:textId="77777777" w:rsidR="00D26039" w:rsidRDefault="00B30650">
            <w:pPr>
              <w:widowControl/>
              <w:jc w:val="center"/>
              <w:rPr>
                <w:rFonts w:ascii="宋体" w:hAnsi="宋体" w:cs="宋体"/>
                <w:bCs/>
                <w:color w:val="000000"/>
                <w:kern w:val="0"/>
                <w:szCs w:val="21"/>
              </w:rPr>
            </w:pPr>
            <w:r>
              <w:rPr>
                <w:rFonts w:ascii="宋体" w:hAnsi="宋体" w:cs="宋体" w:hint="eastAsia"/>
                <w:bCs/>
                <w:color w:val="000000"/>
                <w:kern w:val="0"/>
                <w:szCs w:val="21"/>
              </w:rPr>
              <w:t>净资产</w:t>
            </w:r>
          </w:p>
        </w:tc>
        <w:tc>
          <w:tcPr>
            <w:tcW w:w="2806" w:type="pct"/>
            <w:shd w:val="clear" w:color="auto" w:fill="auto"/>
            <w:noWrap/>
            <w:vAlign w:val="center"/>
          </w:tcPr>
          <w:p w14:paraId="510E4724" w14:textId="77777777" w:rsidR="00D26039" w:rsidRDefault="00B30650">
            <w:pPr>
              <w:jc w:val="right"/>
              <w:rPr>
                <w:rFonts w:eastAsiaTheme="minorEastAsia"/>
                <w:color w:val="000000"/>
                <w:szCs w:val="21"/>
              </w:rPr>
            </w:pPr>
            <w:r>
              <w:rPr>
                <w:rFonts w:eastAsiaTheme="minorEastAsia" w:hint="eastAsia"/>
                <w:color w:val="000000"/>
                <w:szCs w:val="21"/>
              </w:rPr>
              <w:t>8</w:t>
            </w:r>
            <w:r>
              <w:rPr>
                <w:rFonts w:eastAsiaTheme="minorEastAsia"/>
                <w:color w:val="000000"/>
                <w:szCs w:val="21"/>
              </w:rPr>
              <w:t>35,561.85</w:t>
            </w:r>
          </w:p>
        </w:tc>
      </w:tr>
      <w:tr w:rsidR="00D26039" w14:paraId="36452338" w14:textId="77777777">
        <w:trPr>
          <w:trHeight w:val="397"/>
          <w:jc w:val="center"/>
        </w:trPr>
        <w:tc>
          <w:tcPr>
            <w:tcW w:w="2194" w:type="pct"/>
            <w:shd w:val="clear" w:color="auto" w:fill="auto"/>
            <w:noWrap/>
            <w:vAlign w:val="center"/>
          </w:tcPr>
          <w:p w14:paraId="5031D0AF" w14:textId="77777777" w:rsidR="00D26039" w:rsidRDefault="00B30650">
            <w:pPr>
              <w:widowControl/>
              <w:jc w:val="center"/>
              <w:rPr>
                <w:rFonts w:ascii="宋体" w:hAnsi="宋体" w:cs="宋体"/>
                <w:b/>
                <w:color w:val="000000"/>
                <w:kern w:val="0"/>
                <w:szCs w:val="21"/>
              </w:rPr>
            </w:pPr>
            <w:r>
              <w:rPr>
                <w:rFonts w:ascii="宋体" w:hAnsi="宋体" w:cs="宋体" w:hint="eastAsia"/>
                <w:b/>
                <w:color w:val="000000"/>
                <w:kern w:val="0"/>
                <w:szCs w:val="21"/>
              </w:rPr>
              <w:t>项目</w:t>
            </w:r>
          </w:p>
        </w:tc>
        <w:tc>
          <w:tcPr>
            <w:tcW w:w="2806" w:type="pct"/>
            <w:shd w:val="clear" w:color="auto" w:fill="auto"/>
            <w:noWrap/>
            <w:vAlign w:val="center"/>
          </w:tcPr>
          <w:p w14:paraId="221FBA91" w14:textId="77777777" w:rsidR="00D26039" w:rsidRDefault="00B30650">
            <w:pPr>
              <w:jc w:val="center"/>
              <w:rPr>
                <w:rFonts w:eastAsiaTheme="minorEastAsia"/>
                <w:b/>
                <w:color w:val="000000"/>
                <w:szCs w:val="21"/>
              </w:rPr>
            </w:pPr>
            <w:r>
              <w:rPr>
                <w:rFonts w:eastAsiaTheme="minorEastAsia"/>
                <w:b/>
                <w:color w:val="000000"/>
                <w:szCs w:val="21"/>
              </w:rPr>
              <w:t>2021</w:t>
            </w:r>
            <w:r>
              <w:rPr>
                <w:rFonts w:eastAsiaTheme="minorEastAsia" w:hint="eastAsia"/>
                <w:b/>
                <w:color w:val="000000"/>
                <w:szCs w:val="21"/>
              </w:rPr>
              <w:t>年度</w:t>
            </w:r>
          </w:p>
        </w:tc>
      </w:tr>
      <w:tr w:rsidR="00D26039" w14:paraId="494C5342" w14:textId="77777777">
        <w:trPr>
          <w:trHeight w:val="397"/>
          <w:jc w:val="center"/>
        </w:trPr>
        <w:tc>
          <w:tcPr>
            <w:tcW w:w="2194" w:type="pct"/>
            <w:shd w:val="clear" w:color="auto" w:fill="auto"/>
            <w:noWrap/>
            <w:vAlign w:val="center"/>
          </w:tcPr>
          <w:p w14:paraId="1564ED51" w14:textId="77777777" w:rsidR="00D26039" w:rsidRDefault="00B30650">
            <w:pPr>
              <w:widowControl/>
              <w:jc w:val="center"/>
              <w:rPr>
                <w:rFonts w:ascii="宋体" w:hAnsi="宋体" w:cs="宋体"/>
                <w:bCs/>
                <w:color w:val="000000"/>
                <w:kern w:val="0"/>
                <w:szCs w:val="21"/>
              </w:rPr>
            </w:pPr>
            <w:r>
              <w:rPr>
                <w:rFonts w:ascii="宋体" w:hAnsi="宋体" w:cs="宋体" w:hint="eastAsia"/>
                <w:bCs/>
                <w:color w:val="000000"/>
                <w:kern w:val="0"/>
                <w:szCs w:val="21"/>
              </w:rPr>
              <w:t>营业总收入</w:t>
            </w:r>
          </w:p>
        </w:tc>
        <w:tc>
          <w:tcPr>
            <w:tcW w:w="2806" w:type="pct"/>
            <w:shd w:val="clear" w:color="auto" w:fill="auto"/>
            <w:noWrap/>
            <w:vAlign w:val="center"/>
          </w:tcPr>
          <w:p w14:paraId="5BF10B53" w14:textId="77777777" w:rsidR="00D26039" w:rsidRDefault="00B30650">
            <w:pPr>
              <w:jc w:val="right"/>
              <w:rPr>
                <w:rFonts w:eastAsiaTheme="minorEastAsia"/>
                <w:color w:val="000000"/>
                <w:szCs w:val="21"/>
              </w:rPr>
            </w:pPr>
            <w:r>
              <w:rPr>
                <w:rFonts w:eastAsiaTheme="minorEastAsia" w:hint="eastAsia"/>
                <w:color w:val="000000"/>
                <w:szCs w:val="21"/>
              </w:rPr>
              <w:t>6</w:t>
            </w:r>
            <w:r>
              <w:rPr>
                <w:rFonts w:eastAsiaTheme="minorEastAsia"/>
                <w:color w:val="000000"/>
                <w:szCs w:val="21"/>
              </w:rPr>
              <w:t>02,896.78</w:t>
            </w:r>
          </w:p>
        </w:tc>
      </w:tr>
      <w:tr w:rsidR="00D26039" w14:paraId="32E20457" w14:textId="77777777">
        <w:trPr>
          <w:trHeight w:val="397"/>
          <w:jc w:val="center"/>
        </w:trPr>
        <w:tc>
          <w:tcPr>
            <w:tcW w:w="2194" w:type="pct"/>
            <w:shd w:val="clear" w:color="auto" w:fill="auto"/>
            <w:noWrap/>
            <w:vAlign w:val="center"/>
          </w:tcPr>
          <w:p w14:paraId="1022D83B" w14:textId="77777777" w:rsidR="00D26039" w:rsidRDefault="00B30650">
            <w:pPr>
              <w:widowControl/>
              <w:jc w:val="center"/>
              <w:rPr>
                <w:rFonts w:ascii="宋体" w:hAnsi="宋体" w:cs="宋体"/>
                <w:bCs/>
                <w:color w:val="000000"/>
                <w:kern w:val="0"/>
                <w:szCs w:val="21"/>
              </w:rPr>
            </w:pPr>
            <w:r>
              <w:rPr>
                <w:rFonts w:ascii="宋体" w:hAnsi="宋体" w:cs="宋体" w:hint="eastAsia"/>
                <w:bCs/>
                <w:color w:val="000000"/>
                <w:kern w:val="0"/>
                <w:szCs w:val="21"/>
              </w:rPr>
              <w:t>净利润</w:t>
            </w:r>
          </w:p>
        </w:tc>
        <w:tc>
          <w:tcPr>
            <w:tcW w:w="2806" w:type="pct"/>
            <w:shd w:val="clear" w:color="auto" w:fill="auto"/>
            <w:noWrap/>
            <w:vAlign w:val="center"/>
          </w:tcPr>
          <w:p w14:paraId="23CE0D54" w14:textId="77777777" w:rsidR="00D26039" w:rsidRDefault="00B30650">
            <w:pPr>
              <w:jc w:val="right"/>
              <w:rPr>
                <w:rFonts w:eastAsiaTheme="minorEastAsia"/>
                <w:color w:val="000000"/>
                <w:szCs w:val="21"/>
              </w:rPr>
            </w:pPr>
            <w:r>
              <w:rPr>
                <w:rFonts w:eastAsiaTheme="minorEastAsia" w:hint="eastAsia"/>
                <w:color w:val="000000"/>
                <w:szCs w:val="21"/>
              </w:rPr>
              <w:t>3</w:t>
            </w:r>
            <w:r>
              <w:rPr>
                <w:rFonts w:eastAsiaTheme="minorEastAsia"/>
                <w:color w:val="000000"/>
                <w:szCs w:val="21"/>
              </w:rPr>
              <w:t>0,141.17</w:t>
            </w:r>
          </w:p>
        </w:tc>
      </w:tr>
    </w:tbl>
    <w:p w14:paraId="23CD599F" w14:textId="77777777" w:rsidR="00D26039" w:rsidRDefault="00B30650">
      <w:pPr>
        <w:ind w:firstLineChars="200" w:firstLine="420"/>
      </w:pPr>
      <w:r>
        <w:rPr>
          <w:rFonts w:hint="eastAsia"/>
        </w:rPr>
        <w:t>注：上述财务数据已经容诚会计师事务所（特殊普通合伙）审计。</w:t>
      </w:r>
    </w:p>
    <w:p w14:paraId="17F3DE57" w14:textId="77777777" w:rsidR="00D26039" w:rsidRDefault="00B30650">
      <w:pPr>
        <w:pStyle w:val="2"/>
        <w:autoSpaceDE w:val="0"/>
        <w:spacing w:beforeLines="50" w:before="156" w:afterLines="50" w:after="156" w:line="360" w:lineRule="auto"/>
        <w:rPr>
          <w:rFonts w:ascii="Times New Roman" w:hAnsi="Times New Roman"/>
          <w:szCs w:val="28"/>
        </w:rPr>
      </w:pPr>
      <w:bookmarkStart w:id="43" w:name="_Toc111905408"/>
      <w:r>
        <w:rPr>
          <w:rFonts w:ascii="Times New Roman" w:hAnsi="Times New Roman" w:hint="eastAsia"/>
          <w:szCs w:val="28"/>
        </w:rPr>
        <w:t>五、大江投资</w:t>
      </w:r>
      <w:r>
        <w:rPr>
          <w:rFonts w:ascii="Times New Roman" w:hAnsi="Times New Roman"/>
          <w:szCs w:val="28"/>
        </w:rPr>
        <w:t>及其董事、监事、高级管理人员最近五年诉讼及受处罚情况</w:t>
      </w:r>
      <w:bookmarkEnd w:id="43"/>
    </w:p>
    <w:p w14:paraId="01A55E37" w14:textId="77777777" w:rsidR="00D26039" w:rsidRDefault="00B30650">
      <w:pPr>
        <w:spacing w:beforeLines="50" w:before="156" w:afterLines="50" w:after="156" w:line="360" w:lineRule="auto"/>
        <w:ind w:firstLineChars="200" w:firstLine="480"/>
        <w:rPr>
          <w:sz w:val="24"/>
        </w:rPr>
      </w:pPr>
      <w:r>
        <w:rPr>
          <w:sz w:val="24"/>
        </w:rPr>
        <w:t>大江投资董事、监事和高级管理人员最近五年不存在行政处罚</w:t>
      </w:r>
      <w:r>
        <w:rPr>
          <w:rFonts w:hint="eastAsia"/>
          <w:sz w:val="24"/>
        </w:rPr>
        <w:t>（与证券市场明显无关的除外）</w:t>
      </w:r>
      <w:r>
        <w:rPr>
          <w:sz w:val="24"/>
        </w:rPr>
        <w:t>、刑事处罚的情形，不存在涉及与经济纠纷有关的重大民事诉讼或者仲裁。</w:t>
      </w:r>
    </w:p>
    <w:p w14:paraId="401C16B5" w14:textId="77777777" w:rsidR="00D26039" w:rsidRDefault="00B30650">
      <w:pPr>
        <w:spacing w:beforeLines="50" w:before="156" w:afterLines="50" w:after="156" w:line="360" w:lineRule="auto"/>
        <w:ind w:firstLineChars="200" w:firstLine="480"/>
        <w:rPr>
          <w:sz w:val="24"/>
        </w:rPr>
      </w:pPr>
      <w:r>
        <w:rPr>
          <w:sz w:val="24"/>
        </w:rPr>
        <w:t>大江投资最近五年不存在行政处罚</w:t>
      </w:r>
      <w:r>
        <w:rPr>
          <w:rFonts w:hint="eastAsia"/>
          <w:sz w:val="24"/>
        </w:rPr>
        <w:t>（与证券市场明显无关的除外）</w:t>
      </w:r>
      <w:r>
        <w:rPr>
          <w:sz w:val="24"/>
        </w:rPr>
        <w:t>、刑事处罚的情形，最近五年内，大江投资涉及的重大民事诉讼或仲裁情况如下：</w:t>
      </w:r>
    </w:p>
    <w:p w14:paraId="109FF679" w14:textId="31E26BC1" w:rsidR="00D26039" w:rsidRDefault="00B30650">
      <w:pPr>
        <w:spacing w:beforeLines="50" w:before="156" w:afterLines="50" w:after="156" w:line="360" w:lineRule="auto"/>
        <w:ind w:firstLineChars="200" w:firstLine="480"/>
        <w:rPr>
          <w:sz w:val="24"/>
        </w:rPr>
      </w:pPr>
      <w:r>
        <w:rPr>
          <w:rFonts w:hint="eastAsia"/>
          <w:sz w:val="24"/>
        </w:rPr>
        <w:t>原告中国建设银行股份有限公司铜陵开发区支行于</w:t>
      </w:r>
      <w:r>
        <w:rPr>
          <w:rFonts w:hint="eastAsia"/>
          <w:sz w:val="24"/>
        </w:rPr>
        <w:t>2021</w:t>
      </w:r>
      <w:r>
        <w:rPr>
          <w:rFonts w:hint="eastAsia"/>
          <w:sz w:val="24"/>
        </w:rPr>
        <w:t>年</w:t>
      </w:r>
      <w:r>
        <w:rPr>
          <w:rFonts w:hint="eastAsia"/>
          <w:sz w:val="24"/>
        </w:rPr>
        <w:t>4</w:t>
      </w:r>
      <w:r>
        <w:rPr>
          <w:rFonts w:hint="eastAsia"/>
          <w:sz w:val="24"/>
        </w:rPr>
        <w:t>月向铜陵市中级人民法院提起诉讼，请求判令被告（大江投资、</w:t>
      </w:r>
      <w:proofErr w:type="gramStart"/>
      <w:r>
        <w:rPr>
          <w:rFonts w:hint="eastAsia"/>
          <w:sz w:val="24"/>
        </w:rPr>
        <w:t>咸阳华纳铜</w:t>
      </w:r>
      <w:proofErr w:type="gramEnd"/>
      <w:r>
        <w:rPr>
          <w:rFonts w:hint="eastAsia"/>
          <w:sz w:val="24"/>
        </w:rPr>
        <w:t>业科技有限责任公司、赵钦</w:t>
      </w:r>
      <w:proofErr w:type="gramStart"/>
      <w:r>
        <w:rPr>
          <w:rFonts w:hint="eastAsia"/>
          <w:sz w:val="24"/>
        </w:rPr>
        <w:t>堃</w:t>
      </w:r>
      <w:proofErr w:type="gramEnd"/>
      <w:r>
        <w:rPr>
          <w:rFonts w:hint="eastAsia"/>
          <w:sz w:val="24"/>
        </w:rPr>
        <w:t>）在华纳国际（铜陵）电子材料有限公司被法院裁定破产终结后，仍未向原告清偿的贷款本金</w:t>
      </w:r>
      <w:r>
        <w:rPr>
          <w:rFonts w:hint="eastAsia"/>
          <w:sz w:val="24"/>
        </w:rPr>
        <w:t>145,472,797.16</w:t>
      </w:r>
      <w:r>
        <w:rPr>
          <w:rFonts w:hint="eastAsia"/>
          <w:sz w:val="24"/>
        </w:rPr>
        <w:t>元、利息</w:t>
      </w:r>
      <w:r>
        <w:rPr>
          <w:rFonts w:hint="eastAsia"/>
          <w:sz w:val="24"/>
        </w:rPr>
        <w:t>1,330,518.24</w:t>
      </w:r>
      <w:r>
        <w:rPr>
          <w:rFonts w:hint="eastAsia"/>
          <w:sz w:val="24"/>
        </w:rPr>
        <w:t>元，合计</w:t>
      </w:r>
      <w:r>
        <w:rPr>
          <w:rFonts w:hint="eastAsia"/>
          <w:sz w:val="24"/>
        </w:rPr>
        <w:t>146,803,315.4</w:t>
      </w:r>
      <w:r>
        <w:rPr>
          <w:sz w:val="24"/>
        </w:rPr>
        <w:t>0</w:t>
      </w:r>
      <w:r>
        <w:rPr>
          <w:rFonts w:hint="eastAsia"/>
          <w:sz w:val="24"/>
        </w:rPr>
        <w:t>元承担</w:t>
      </w:r>
      <w:r>
        <w:rPr>
          <w:rFonts w:hint="eastAsia"/>
          <w:sz w:val="24"/>
        </w:rPr>
        <w:t>100%</w:t>
      </w:r>
      <w:r>
        <w:rPr>
          <w:rFonts w:hint="eastAsia"/>
          <w:sz w:val="24"/>
        </w:rPr>
        <w:t>连带保证清偿责任。</w:t>
      </w:r>
      <w:r>
        <w:rPr>
          <w:rFonts w:hint="eastAsia"/>
          <w:sz w:val="24"/>
        </w:rPr>
        <w:t>2021</w:t>
      </w:r>
      <w:r>
        <w:rPr>
          <w:rFonts w:hint="eastAsia"/>
          <w:sz w:val="24"/>
        </w:rPr>
        <w:t>年</w:t>
      </w:r>
      <w:r>
        <w:rPr>
          <w:rFonts w:hint="eastAsia"/>
          <w:sz w:val="24"/>
        </w:rPr>
        <w:t>12</w:t>
      </w:r>
      <w:r>
        <w:rPr>
          <w:rFonts w:hint="eastAsia"/>
          <w:sz w:val="24"/>
        </w:rPr>
        <w:t>月，铜陵市中级人民法院</w:t>
      </w:r>
      <w:proofErr w:type="gramStart"/>
      <w:r>
        <w:rPr>
          <w:rFonts w:hint="eastAsia"/>
          <w:sz w:val="24"/>
        </w:rPr>
        <w:t>作出</w:t>
      </w:r>
      <w:proofErr w:type="gramEnd"/>
      <w:r>
        <w:rPr>
          <w:rFonts w:hint="eastAsia"/>
          <w:sz w:val="24"/>
        </w:rPr>
        <w:t>（</w:t>
      </w:r>
      <w:r>
        <w:rPr>
          <w:rFonts w:hint="eastAsia"/>
          <w:sz w:val="24"/>
        </w:rPr>
        <w:t>2021</w:t>
      </w:r>
      <w:r>
        <w:rPr>
          <w:rFonts w:hint="eastAsia"/>
          <w:sz w:val="24"/>
        </w:rPr>
        <w:t>）皖</w:t>
      </w:r>
      <w:r>
        <w:rPr>
          <w:rFonts w:hint="eastAsia"/>
          <w:sz w:val="24"/>
        </w:rPr>
        <w:t>07</w:t>
      </w:r>
      <w:r>
        <w:rPr>
          <w:rFonts w:hint="eastAsia"/>
          <w:sz w:val="24"/>
        </w:rPr>
        <w:t>民初</w:t>
      </w:r>
      <w:r>
        <w:rPr>
          <w:rFonts w:hint="eastAsia"/>
          <w:sz w:val="24"/>
        </w:rPr>
        <w:t>50</w:t>
      </w:r>
      <w:r>
        <w:rPr>
          <w:rFonts w:hint="eastAsia"/>
          <w:sz w:val="24"/>
        </w:rPr>
        <w:t>号民事判决，判决大江投资、</w:t>
      </w:r>
      <w:proofErr w:type="gramStart"/>
      <w:r>
        <w:rPr>
          <w:rFonts w:hint="eastAsia"/>
          <w:sz w:val="24"/>
        </w:rPr>
        <w:t>咸阳华纳铜</w:t>
      </w:r>
      <w:proofErr w:type="gramEnd"/>
      <w:r>
        <w:rPr>
          <w:rFonts w:hint="eastAsia"/>
          <w:sz w:val="24"/>
        </w:rPr>
        <w:t>业科技有限责任公司、赵钦</w:t>
      </w:r>
      <w:proofErr w:type="gramStart"/>
      <w:r>
        <w:rPr>
          <w:rFonts w:hint="eastAsia"/>
          <w:sz w:val="24"/>
        </w:rPr>
        <w:t>堃</w:t>
      </w:r>
      <w:proofErr w:type="gramEnd"/>
      <w:r>
        <w:rPr>
          <w:rFonts w:hint="eastAsia"/>
          <w:sz w:val="24"/>
        </w:rPr>
        <w:t>于判决生效后十日内向原告连带清偿贷款本息</w:t>
      </w:r>
      <w:r>
        <w:rPr>
          <w:rFonts w:hint="eastAsia"/>
          <w:sz w:val="24"/>
        </w:rPr>
        <w:t>146</w:t>
      </w:r>
      <w:r>
        <w:rPr>
          <w:sz w:val="24"/>
        </w:rPr>
        <w:t>,</w:t>
      </w:r>
      <w:r>
        <w:rPr>
          <w:rFonts w:hint="eastAsia"/>
          <w:sz w:val="24"/>
        </w:rPr>
        <w:t>803</w:t>
      </w:r>
      <w:r>
        <w:rPr>
          <w:sz w:val="24"/>
        </w:rPr>
        <w:t>,</w:t>
      </w:r>
      <w:r>
        <w:rPr>
          <w:rFonts w:hint="eastAsia"/>
          <w:sz w:val="24"/>
        </w:rPr>
        <w:t>315.4</w:t>
      </w:r>
      <w:r w:rsidR="00D47A78">
        <w:rPr>
          <w:sz w:val="24"/>
        </w:rPr>
        <w:t>0</w:t>
      </w:r>
      <w:r>
        <w:rPr>
          <w:rFonts w:hint="eastAsia"/>
          <w:sz w:val="24"/>
        </w:rPr>
        <w:t>元，大江投资清偿的贷款本息以</w:t>
      </w:r>
      <w:r>
        <w:rPr>
          <w:rFonts w:hint="eastAsia"/>
          <w:sz w:val="24"/>
        </w:rPr>
        <w:t>141,920,000</w:t>
      </w:r>
      <w:r w:rsidR="00D47A78">
        <w:rPr>
          <w:sz w:val="24"/>
        </w:rPr>
        <w:t>.00</w:t>
      </w:r>
      <w:r>
        <w:rPr>
          <w:rFonts w:hint="eastAsia"/>
          <w:sz w:val="24"/>
        </w:rPr>
        <w:t>元为限。大江投资不服一审判决，向安徽省高级人民法院提起上诉。</w:t>
      </w:r>
      <w:r>
        <w:rPr>
          <w:rFonts w:hint="eastAsia"/>
          <w:sz w:val="24"/>
        </w:rPr>
        <w:t>2022</w:t>
      </w:r>
      <w:r>
        <w:rPr>
          <w:rFonts w:hint="eastAsia"/>
          <w:sz w:val="24"/>
        </w:rPr>
        <w:t>年</w:t>
      </w:r>
      <w:r>
        <w:rPr>
          <w:rFonts w:hint="eastAsia"/>
          <w:sz w:val="24"/>
        </w:rPr>
        <w:t>7</w:t>
      </w:r>
      <w:r>
        <w:rPr>
          <w:rFonts w:hint="eastAsia"/>
          <w:sz w:val="24"/>
        </w:rPr>
        <w:t>月，安徽省高级</w:t>
      </w:r>
      <w:r>
        <w:rPr>
          <w:rFonts w:hint="eastAsia"/>
          <w:sz w:val="24"/>
        </w:rPr>
        <w:lastRenderedPageBreak/>
        <w:t>人民法院</w:t>
      </w:r>
      <w:proofErr w:type="gramStart"/>
      <w:r>
        <w:rPr>
          <w:rFonts w:hint="eastAsia"/>
          <w:sz w:val="24"/>
        </w:rPr>
        <w:t>作出</w:t>
      </w:r>
      <w:proofErr w:type="gramEnd"/>
      <w:r>
        <w:rPr>
          <w:rFonts w:hint="eastAsia"/>
          <w:sz w:val="24"/>
        </w:rPr>
        <w:t>（</w:t>
      </w:r>
      <w:r>
        <w:rPr>
          <w:rFonts w:hint="eastAsia"/>
          <w:sz w:val="24"/>
        </w:rPr>
        <w:t>2022</w:t>
      </w:r>
      <w:r>
        <w:rPr>
          <w:rFonts w:hint="eastAsia"/>
          <w:sz w:val="24"/>
        </w:rPr>
        <w:t>）</w:t>
      </w:r>
      <w:proofErr w:type="gramStart"/>
      <w:r>
        <w:rPr>
          <w:rFonts w:hint="eastAsia"/>
          <w:sz w:val="24"/>
        </w:rPr>
        <w:t>皖民终</w:t>
      </w:r>
      <w:r>
        <w:rPr>
          <w:rFonts w:hint="eastAsia"/>
          <w:sz w:val="24"/>
        </w:rPr>
        <w:t>640</w:t>
      </w:r>
      <w:r>
        <w:rPr>
          <w:rFonts w:hint="eastAsia"/>
          <w:sz w:val="24"/>
        </w:rPr>
        <w:t>号</w:t>
      </w:r>
      <w:proofErr w:type="gramEnd"/>
      <w:r>
        <w:rPr>
          <w:rFonts w:hint="eastAsia"/>
          <w:sz w:val="24"/>
        </w:rPr>
        <w:t>民事判决，维持了前述判决结果。</w:t>
      </w:r>
    </w:p>
    <w:p w14:paraId="63BF414B" w14:textId="77777777" w:rsidR="00D26039" w:rsidRDefault="00B30650">
      <w:pPr>
        <w:spacing w:beforeLines="50" w:before="156" w:afterLines="50" w:after="156" w:line="360" w:lineRule="auto"/>
        <w:ind w:firstLineChars="200" w:firstLine="480"/>
        <w:rPr>
          <w:sz w:val="24"/>
        </w:rPr>
      </w:pPr>
      <w:r>
        <w:rPr>
          <w:rFonts w:ascii="宋体" w:hAnsi="宋体" w:cs="宋体" w:hint="eastAsia"/>
          <w:color w:val="000000"/>
          <w:kern w:val="0"/>
          <w:sz w:val="24"/>
        </w:rPr>
        <w:t>截至本预案出具之日</w:t>
      </w:r>
      <w:r>
        <w:rPr>
          <w:rFonts w:hint="eastAsia"/>
          <w:sz w:val="24"/>
        </w:rPr>
        <w:t>，上述清偿义务尚未履行完毕，大江投资就本案判决存在异议，拟向最高人民法院申请再审。</w:t>
      </w:r>
    </w:p>
    <w:p w14:paraId="3B38C312" w14:textId="77777777" w:rsidR="00D26039" w:rsidRDefault="00B30650">
      <w:pPr>
        <w:pStyle w:val="2"/>
        <w:autoSpaceDE w:val="0"/>
        <w:spacing w:beforeLines="50" w:before="156" w:afterLines="50" w:after="156" w:line="360" w:lineRule="auto"/>
        <w:rPr>
          <w:rFonts w:ascii="Times New Roman" w:hAnsi="Times New Roman"/>
          <w:szCs w:val="28"/>
        </w:rPr>
      </w:pPr>
      <w:bookmarkStart w:id="44" w:name="_Toc111905409"/>
      <w:r>
        <w:rPr>
          <w:rFonts w:ascii="Times New Roman" w:hAnsi="Times New Roman" w:hint="eastAsia"/>
          <w:szCs w:val="28"/>
        </w:rPr>
        <w:t>六、本次发行完成后的同业竞争及关联交易情况</w:t>
      </w:r>
      <w:bookmarkEnd w:id="44"/>
    </w:p>
    <w:p w14:paraId="0BA067CD" w14:textId="77777777" w:rsidR="00D26039" w:rsidRDefault="00B30650">
      <w:pPr>
        <w:spacing w:beforeLines="50" w:before="156" w:afterLines="50" w:after="156" w:line="360" w:lineRule="auto"/>
        <w:ind w:firstLineChars="200" w:firstLine="480"/>
        <w:rPr>
          <w:sz w:val="24"/>
        </w:rPr>
      </w:pPr>
      <w:r>
        <w:rPr>
          <w:sz w:val="24"/>
        </w:rPr>
        <w:t>大江投资作为铜陵经开区重点基础设施的投资建设单位，主要职能是负责经开区内的基础设施建设、土地开发整理、安居性住房及其配套设施建设与运营、污水处理和标准化厂房建设与运营等，上市公司主营业务为薄膜电容器及其薄膜材料的研发、生产和销售，双方之间不存在同业竞争。</w:t>
      </w:r>
    </w:p>
    <w:p w14:paraId="23BAEA48" w14:textId="77777777" w:rsidR="00D26039" w:rsidRDefault="00B30650">
      <w:pPr>
        <w:spacing w:beforeLines="50" w:before="156" w:afterLines="50" w:after="156" w:line="360" w:lineRule="auto"/>
        <w:ind w:firstLineChars="200" w:firstLine="480"/>
        <w:rPr>
          <w:sz w:val="24"/>
        </w:rPr>
      </w:pPr>
      <w:r>
        <w:rPr>
          <w:sz w:val="24"/>
        </w:rPr>
        <w:t>除大江投资认购公司本次非公开发行</w:t>
      </w:r>
      <w:r>
        <w:rPr>
          <w:rFonts w:hint="eastAsia"/>
          <w:sz w:val="24"/>
        </w:rPr>
        <w:t>股票</w:t>
      </w:r>
      <w:r>
        <w:rPr>
          <w:sz w:val="24"/>
        </w:rPr>
        <w:t>的行为构成关联交易外，本次发行完成后，大江投资与上市公司不因本次发行产生新增关联交易事项。</w:t>
      </w:r>
    </w:p>
    <w:p w14:paraId="54BA9895" w14:textId="77777777" w:rsidR="00D26039" w:rsidRDefault="00B30650">
      <w:pPr>
        <w:spacing w:beforeLines="50" w:before="156" w:afterLines="50" w:after="156" w:line="360" w:lineRule="auto"/>
        <w:ind w:firstLineChars="200" w:firstLine="480"/>
        <w:rPr>
          <w:sz w:val="24"/>
        </w:rPr>
      </w:pPr>
      <w:r>
        <w:rPr>
          <w:sz w:val="24"/>
        </w:rPr>
        <w:t>本次非公开发行完成后，若大江投资与上市公司开展业务合作并产生关联交易，上市公司将严格遵照法律法规以及公司内部规定履行关联交易的审批程序，继续遵循公正、公平、公开的市场原则，依法签订关联交易协议并按照有关法律、法规和上市规则等有关规定履行信息披露义务和办理有关报批程序，严格按照法律法规及关联交易相关管理制度的定价原则进行，不损害公司及全体股东的利益。</w:t>
      </w:r>
    </w:p>
    <w:p w14:paraId="157C7076" w14:textId="77777777" w:rsidR="00D26039" w:rsidRDefault="00B30650">
      <w:pPr>
        <w:pStyle w:val="2"/>
        <w:autoSpaceDE w:val="0"/>
        <w:spacing w:beforeLines="50" w:before="156" w:afterLines="50" w:after="156" w:line="360" w:lineRule="auto"/>
        <w:rPr>
          <w:rFonts w:ascii="黑体" w:hAnsi="黑体"/>
          <w:szCs w:val="28"/>
        </w:rPr>
      </w:pPr>
      <w:bookmarkStart w:id="45" w:name="_Toc111905410"/>
      <w:r>
        <w:rPr>
          <w:rFonts w:ascii="黑体" w:hAnsi="黑体" w:hint="eastAsia"/>
          <w:szCs w:val="28"/>
        </w:rPr>
        <w:t>七、本次发行预案公告前24个月内重大交易情况</w:t>
      </w:r>
      <w:bookmarkEnd w:id="45"/>
    </w:p>
    <w:p w14:paraId="61F31AA9" w14:textId="2620F7B7" w:rsidR="00D26039" w:rsidRDefault="00B30650">
      <w:pPr>
        <w:spacing w:beforeLines="50" w:before="156" w:afterLines="50" w:after="156" w:line="360" w:lineRule="auto"/>
        <w:ind w:firstLineChars="200" w:firstLine="480"/>
        <w:rPr>
          <w:rFonts w:asciiTheme="minorEastAsia" w:eastAsiaTheme="minorEastAsia" w:hAnsiTheme="minorEastAsia"/>
          <w:sz w:val="24"/>
        </w:rPr>
      </w:pPr>
      <w:r>
        <w:rPr>
          <w:rFonts w:eastAsiaTheme="minorEastAsia" w:hint="eastAsia"/>
          <w:sz w:val="24"/>
        </w:rPr>
        <w:t>202</w:t>
      </w:r>
      <w:r>
        <w:rPr>
          <w:rFonts w:eastAsiaTheme="minorEastAsia"/>
          <w:sz w:val="24"/>
        </w:rPr>
        <w:t>0</w:t>
      </w:r>
      <w:r>
        <w:rPr>
          <w:rFonts w:asciiTheme="minorEastAsia" w:eastAsiaTheme="minorEastAsia" w:hAnsiTheme="minorEastAsia" w:hint="eastAsia"/>
          <w:sz w:val="24"/>
        </w:rPr>
        <w:t>年</w:t>
      </w:r>
      <w:r>
        <w:rPr>
          <w:rFonts w:eastAsiaTheme="minorEastAsia" w:hint="eastAsia"/>
          <w:sz w:val="24"/>
        </w:rPr>
        <w:t>10</w:t>
      </w:r>
      <w:r>
        <w:rPr>
          <w:rFonts w:asciiTheme="minorEastAsia" w:eastAsiaTheme="minorEastAsia" w:hAnsiTheme="minorEastAsia" w:hint="eastAsia"/>
          <w:sz w:val="24"/>
        </w:rPr>
        <w:t>月</w:t>
      </w:r>
      <w:r>
        <w:rPr>
          <w:rFonts w:eastAsiaTheme="minorEastAsia" w:hint="eastAsia"/>
          <w:sz w:val="24"/>
        </w:rPr>
        <w:t>16</w:t>
      </w:r>
      <w:r>
        <w:rPr>
          <w:rFonts w:asciiTheme="minorEastAsia" w:eastAsiaTheme="minorEastAsia" w:hAnsiTheme="minorEastAsia" w:hint="eastAsia"/>
          <w:sz w:val="24"/>
        </w:rPr>
        <w:t>日，大江投资以</w:t>
      </w:r>
      <w:proofErr w:type="gramStart"/>
      <w:r>
        <w:rPr>
          <w:rFonts w:asciiTheme="minorEastAsia" w:eastAsiaTheme="minorEastAsia" w:hAnsiTheme="minorEastAsia" w:hint="eastAsia"/>
          <w:sz w:val="24"/>
        </w:rPr>
        <w:t>最</w:t>
      </w:r>
      <w:proofErr w:type="gramEnd"/>
      <w:r>
        <w:rPr>
          <w:rFonts w:asciiTheme="minorEastAsia" w:eastAsiaTheme="minorEastAsia" w:hAnsiTheme="minorEastAsia" w:hint="eastAsia"/>
          <w:sz w:val="24"/>
        </w:rPr>
        <w:t>高价竞得</w:t>
      </w:r>
      <w:proofErr w:type="gramStart"/>
      <w:r>
        <w:rPr>
          <w:rFonts w:asciiTheme="minorEastAsia" w:eastAsiaTheme="minorEastAsia" w:hAnsiTheme="minorEastAsia" w:hint="eastAsia"/>
          <w:sz w:val="24"/>
        </w:rPr>
        <w:t>铜峰电子</w:t>
      </w:r>
      <w:proofErr w:type="gramEnd"/>
      <w:r>
        <w:rPr>
          <w:rFonts w:asciiTheme="minorEastAsia" w:eastAsiaTheme="minorEastAsia" w:hAnsiTheme="minorEastAsia" w:hint="eastAsia"/>
          <w:sz w:val="24"/>
        </w:rPr>
        <w:t>原控股股东安徽铜峰电子集团有限公司持有的公司全部</w:t>
      </w:r>
      <w:r>
        <w:rPr>
          <w:rFonts w:eastAsiaTheme="minorEastAsia" w:hint="eastAsia"/>
          <w:sz w:val="24"/>
        </w:rPr>
        <w:t>94</w:t>
      </w:r>
      <w:r>
        <w:rPr>
          <w:rFonts w:asciiTheme="minorEastAsia" w:eastAsiaTheme="minorEastAsia" w:hAnsiTheme="minorEastAsia" w:hint="eastAsia"/>
          <w:sz w:val="24"/>
        </w:rPr>
        <w:t>,</w:t>
      </w:r>
      <w:r>
        <w:rPr>
          <w:rFonts w:eastAsiaTheme="minorEastAsia" w:hint="eastAsia"/>
          <w:sz w:val="24"/>
        </w:rPr>
        <w:t>561</w:t>
      </w:r>
      <w:r>
        <w:rPr>
          <w:rFonts w:asciiTheme="minorEastAsia" w:eastAsiaTheme="minorEastAsia" w:hAnsiTheme="minorEastAsia" w:hint="eastAsia"/>
          <w:sz w:val="24"/>
        </w:rPr>
        <w:t>,</w:t>
      </w:r>
      <w:r>
        <w:rPr>
          <w:rFonts w:eastAsiaTheme="minorEastAsia" w:hint="eastAsia"/>
          <w:sz w:val="24"/>
        </w:rPr>
        <w:t>280</w:t>
      </w:r>
      <w:r>
        <w:rPr>
          <w:rFonts w:asciiTheme="minorEastAsia" w:eastAsiaTheme="minorEastAsia" w:hAnsiTheme="minorEastAsia" w:hint="eastAsia"/>
          <w:sz w:val="24"/>
        </w:rPr>
        <w:t>股股份。同日，铜陵市中级人民法院出具《民事裁定书》，裁定以上拍卖股份的所有权及相应的其他权利归买受人大江投资所有。上述拍卖股份的过户登记手续</w:t>
      </w:r>
      <w:r w:rsidR="00EC2FA6">
        <w:rPr>
          <w:rFonts w:asciiTheme="minorEastAsia" w:eastAsiaTheme="minorEastAsia" w:hAnsiTheme="minorEastAsia" w:hint="eastAsia"/>
          <w:sz w:val="24"/>
        </w:rPr>
        <w:t>已</w:t>
      </w:r>
      <w:r>
        <w:rPr>
          <w:rFonts w:asciiTheme="minorEastAsia" w:eastAsiaTheme="minorEastAsia" w:hAnsiTheme="minorEastAsia" w:hint="eastAsia"/>
          <w:sz w:val="24"/>
        </w:rPr>
        <w:t>于</w:t>
      </w:r>
      <w:r>
        <w:rPr>
          <w:rFonts w:eastAsiaTheme="minorEastAsia" w:hint="eastAsia"/>
          <w:sz w:val="24"/>
        </w:rPr>
        <w:t>2020</w:t>
      </w:r>
      <w:r>
        <w:rPr>
          <w:rFonts w:asciiTheme="minorEastAsia" w:eastAsiaTheme="minorEastAsia" w:hAnsiTheme="minorEastAsia" w:hint="eastAsia"/>
          <w:sz w:val="24"/>
        </w:rPr>
        <w:t>年</w:t>
      </w:r>
      <w:r>
        <w:rPr>
          <w:rFonts w:eastAsiaTheme="minorEastAsia" w:hint="eastAsia"/>
          <w:sz w:val="24"/>
        </w:rPr>
        <w:t>11</w:t>
      </w:r>
      <w:r>
        <w:rPr>
          <w:rFonts w:asciiTheme="minorEastAsia" w:eastAsiaTheme="minorEastAsia" w:hAnsiTheme="minorEastAsia" w:hint="eastAsia"/>
          <w:sz w:val="24"/>
        </w:rPr>
        <w:t>月</w:t>
      </w:r>
      <w:r>
        <w:rPr>
          <w:rFonts w:eastAsiaTheme="minorEastAsia" w:hint="eastAsia"/>
          <w:sz w:val="24"/>
        </w:rPr>
        <w:t>3</w:t>
      </w:r>
      <w:r>
        <w:rPr>
          <w:rFonts w:asciiTheme="minorEastAsia" w:eastAsiaTheme="minorEastAsia" w:hAnsiTheme="minorEastAsia" w:hint="eastAsia"/>
          <w:sz w:val="24"/>
        </w:rPr>
        <w:t>日完成，此次股份过户完成后，大江投资持有公司</w:t>
      </w:r>
      <w:r>
        <w:rPr>
          <w:rFonts w:eastAsiaTheme="minorEastAsia" w:hint="eastAsia"/>
          <w:sz w:val="24"/>
        </w:rPr>
        <w:t>94</w:t>
      </w:r>
      <w:r>
        <w:rPr>
          <w:rFonts w:asciiTheme="minorEastAsia" w:eastAsiaTheme="minorEastAsia" w:hAnsiTheme="minorEastAsia" w:hint="eastAsia"/>
          <w:sz w:val="24"/>
        </w:rPr>
        <w:t>,</w:t>
      </w:r>
      <w:r>
        <w:rPr>
          <w:rFonts w:eastAsiaTheme="minorEastAsia" w:hint="eastAsia"/>
          <w:sz w:val="24"/>
        </w:rPr>
        <w:t>561</w:t>
      </w:r>
      <w:r>
        <w:rPr>
          <w:rFonts w:asciiTheme="minorEastAsia" w:eastAsiaTheme="minorEastAsia" w:hAnsiTheme="minorEastAsia" w:hint="eastAsia"/>
          <w:sz w:val="24"/>
        </w:rPr>
        <w:t>,</w:t>
      </w:r>
      <w:r>
        <w:rPr>
          <w:rFonts w:eastAsiaTheme="minorEastAsia" w:hint="eastAsia"/>
          <w:sz w:val="24"/>
        </w:rPr>
        <w:t>280</w:t>
      </w:r>
      <w:r>
        <w:rPr>
          <w:rFonts w:asciiTheme="minorEastAsia" w:eastAsiaTheme="minorEastAsia" w:hAnsiTheme="minorEastAsia" w:hint="eastAsia"/>
          <w:sz w:val="24"/>
        </w:rPr>
        <w:t>股股份，占公司总股本</w:t>
      </w:r>
      <w:r>
        <w:rPr>
          <w:rFonts w:eastAsiaTheme="minorEastAsia" w:hint="eastAsia"/>
          <w:sz w:val="24"/>
        </w:rPr>
        <w:t>16</w:t>
      </w:r>
      <w:r>
        <w:rPr>
          <w:rFonts w:asciiTheme="minorEastAsia" w:eastAsiaTheme="minorEastAsia" w:hAnsiTheme="minorEastAsia" w:hint="eastAsia"/>
          <w:sz w:val="24"/>
        </w:rPr>
        <w:t>.</w:t>
      </w:r>
      <w:r>
        <w:rPr>
          <w:rFonts w:eastAsiaTheme="minorEastAsia" w:hint="eastAsia"/>
          <w:sz w:val="24"/>
        </w:rPr>
        <w:t>76</w:t>
      </w:r>
      <w:r>
        <w:rPr>
          <w:rFonts w:asciiTheme="minorEastAsia" w:eastAsiaTheme="minorEastAsia" w:hAnsiTheme="minorEastAsia" w:hint="eastAsia"/>
          <w:sz w:val="24"/>
        </w:rPr>
        <w:t>%，公司控股股东变更为大江投资，实际控制人变更为铜陵经济技术开发区管理委员会。</w:t>
      </w:r>
    </w:p>
    <w:p w14:paraId="46529D49" w14:textId="77777777" w:rsidR="00D26039" w:rsidRDefault="00B30650">
      <w:pPr>
        <w:spacing w:beforeLines="50" w:before="156" w:afterLines="50" w:after="156" w:line="360" w:lineRule="auto"/>
        <w:ind w:firstLineChars="200" w:firstLine="480"/>
        <w:rPr>
          <w:rFonts w:asciiTheme="minorEastAsia" w:eastAsiaTheme="minorEastAsia" w:hAnsiTheme="minorEastAsia"/>
          <w:sz w:val="24"/>
        </w:rPr>
      </w:pPr>
      <w:r>
        <w:rPr>
          <w:rFonts w:eastAsiaTheme="minorEastAsia" w:hint="eastAsia"/>
          <w:sz w:val="24"/>
        </w:rPr>
        <w:t>2020</w:t>
      </w:r>
      <w:r>
        <w:rPr>
          <w:rFonts w:asciiTheme="minorEastAsia" w:eastAsiaTheme="minorEastAsia" w:hAnsiTheme="minorEastAsia" w:hint="eastAsia"/>
          <w:sz w:val="24"/>
        </w:rPr>
        <w:t>年</w:t>
      </w:r>
      <w:r>
        <w:rPr>
          <w:rFonts w:eastAsiaTheme="minorEastAsia" w:hint="eastAsia"/>
          <w:sz w:val="24"/>
        </w:rPr>
        <w:t>12</w:t>
      </w:r>
      <w:r>
        <w:rPr>
          <w:rFonts w:asciiTheme="minorEastAsia" w:eastAsiaTheme="minorEastAsia" w:hAnsiTheme="minorEastAsia" w:hint="eastAsia"/>
          <w:sz w:val="24"/>
        </w:rPr>
        <w:t>月</w:t>
      </w:r>
      <w:r>
        <w:rPr>
          <w:rFonts w:eastAsiaTheme="minorEastAsia" w:hint="eastAsia"/>
          <w:sz w:val="24"/>
        </w:rPr>
        <w:t>7</w:t>
      </w:r>
      <w:r>
        <w:rPr>
          <w:rFonts w:asciiTheme="minorEastAsia" w:eastAsiaTheme="minorEastAsia" w:hAnsiTheme="minorEastAsia" w:hint="eastAsia"/>
          <w:sz w:val="24"/>
        </w:rPr>
        <w:t>日，大江投资通过上海证券交易所交易系统以大宗交易方式受让了铜陵市铜</w:t>
      </w:r>
      <w:proofErr w:type="gramStart"/>
      <w:r>
        <w:rPr>
          <w:rFonts w:asciiTheme="minorEastAsia" w:eastAsiaTheme="minorEastAsia" w:hAnsiTheme="minorEastAsia" w:hint="eastAsia"/>
          <w:sz w:val="24"/>
        </w:rPr>
        <w:t>鑫</w:t>
      </w:r>
      <w:proofErr w:type="gramEnd"/>
      <w:r>
        <w:rPr>
          <w:rFonts w:asciiTheme="minorEastAsia" w:eastAsiaTheme="minorEastAsia" w:hAnsiTheme="minorEastAsia" w:hint="eastAsia"/>
          <w:sz w:val="24"/>
        </w:rPr>
        <w:t>先进结构材料产业</w:t>
      </w:r>
      <w:proofErr w:type="gramStart"/>
      <w:r>
        <w:rPr>
          <w:rFonts w:asciiTheme="minorEastAsia" w:eastAsiaTheme="minorEastAsia" w:hAnsiTheme="minorEastAsia" w:hint="eastAsia"/>
          <w:sz w:val="24"/>
        </w:rPr>
        <w:t>纾困发展</w:t>
      </w:r>
      <w:proofErr w:type="gramEnd"/>
      <w:r>
        <w:rPr>
          <w:rFonts w:asciiTheme="minorEastAsia" w:eastAsiaTheme="minorEastAsia" w:hAnsiTheme="minorEastAsia" w:hint="eastAsia"/>
          <w:sz w:val="24"/>
        </w:rPr>
        <w:t>基金合伙企业（有限合伙）持有的公司</w:t>
      </w:r>
      <w:r>
        <w:rPr>
          <w:rFonts w:eastAsiaTheme="minorEastAsia" w:hint="eastAsia"/>
          <w:sz w:val="24"/>
        </w:rPr>
        <w:t>17</w:t>
      </w:r>
      <w:r>
        <w:rPr>
          <w:rFonts w:asciiTheme="minorEastAsia" w:eastAsiaTheme="minorEastAsia" w:hAnsiTheme="minorEastAsia" w:hint="eastAsia"/>
          <w:sz w:val="24"/>
        </w:rPr>
        <w:t>,</w:t>
      </w:r>
      <w:r>
        <w:rPr>
          <w:rFonts w:eastAsiaTheme="minorEastAsia" w:hint="eastAsia"/>
          <w:sz w:val="24"/>
        </w:rPr>
        <w:t>144</w:t>
      </w:r>
      <w:r>
        <w:rPr>
          <w:rFonts w:asciiTheme="minorEastAsia" w:eastAsiaTheme="minorEastAsia" w:hAnsiTheme="minorEastAsia" w:hint="eastAsia"/>
          <w:sz w:val="24"/>
        </w:rPr>
        <w:t>,</w:t>
      </w:r>
      <w:r>
        <w:rPr>
          <w:rFonts w:eastAsiaTheme="minorEastAsia" w:hint="eastAsia"/>
          <w:sz w:val="24"/>
        </w:rPr>
        <w:t>699</w:t>
      </w:r>
      <w:r>
        <w:rPr>
          <w:rFonts w:asciiTheme="minorEastAsia" w:eastAsiaTheme="minorEastAsia" w:hAnsiTheme="minorEastAsia" w:hint="eastAsia"/>
          <w:sz w:val="24"/>
        </w:rPr>
        <w:t>股，占公司总股本的</w:t>
      </w:r>
      <w:r>
        <w:rPr>
          <w:rFonts w:eastAsiaTheme="minorEastAsia" w:hint="eastAsia"/>
          <w:sz w:val="24"/>
        </w:rPr>
        <w:t>3</w:t>
      </w:r>
      <w:r>
        <w:rPr>
          <w:rFonts w:asciiTheme="minorEastAsia" w:eastAsiaTheme="minorEastAsia" w:hAnsiTheme="minorEastAsia" w:hint="eastAsia"/>
          <w:sz w:val="24"/>
        </w:rPr>
        <w:t>.</w:t>
      </w:r>
      <w:r>
        <w:rPr>
          <w:rFonts w:eastAsiaTheme="minorEastAsia" w:hint="eastAsia"/>
          <w:sz w:val="24"/>
        </w:rPr>
        <w:t>04</w:t>
      </w:r>
      <w:r>
        <w:rPr>
          <w:rFonts w:asciiTheme="minorEastAsia" w:eastAsiaTheme="minorEastAsia" w:hAnsiTheme="minorEastAsia" w:hint="eastAsia"/>
          <w:sz w:val="24"/>
        </w:rPr>
        <w:t>%。本次增持后，大江投资持有公司</w:t>
      </w:r>
      <w:r>
        <w:rPr>
          <w:rFonts w:asciiTheme="minorEastAsia" w:eastAsiaTheme="minorEastAsia" w:hAnsiTheme="minorEastAsia" w:hint="eastAsia"/>
          <w:sz w:val="24"/>
        </w:rPr>
        <w:lastRenderedPageBreak/>
        <w:t>股份</w:t>
      </w:r>
      <w:r>
        <w:rPr>
          <w:rFonts w:eastAsiaTheme="minorEastAsia" w:hint="eastAsia"/>
          <w:sz w:val="24"/>
        </w:rPr>
        <w:t>111</w:t>
      </w:r>
      <w:r>
        <w:rPr>
          <w:rFonts w:asciiTheme="minorEastAsia" w:eastAsiaTheme="minorEastAsia" w:hAnsiTheme="minorEastAsia" w:hint="eastAsia"/>
          <w:sz w:val="24"/>
        </w:rPr>
        <w:t>,</w:t>
      </w:r>
      <w:r>
        <w:rPr>
          <w:rFonts w:eastAsiaTheme="minorEastAsia" w:hint="eastAsia"/>
          <w:sz w:val="24"/>
        </w:rPr>
        <w:t>705</w:t>
      </w:r>
      <w:r>
        <w:rPr>
          <w:rFonts w:asciiTheme="minorEastAsia" w:eastAsiaTheme="minorEastAsia" w:hAnsiTheme="minorEastAsia" w:hint="eastAsia"/>
          <w:sz w:val="24"/>
        </w:rPr>
        <w:t>,</w:t>
      </w:r>
      <w:r>
        <w:rPr>
          <w:rFonts w:eastAsiaTheme="minorEastAsia" w:hint="eastAsia"/>
          <w:sz w:val="24"/>
        </w:rPr>
        <w:t>979</w:t>
      </w:r>
      <w:r>
        <w:rPr>
          <w:rFonts w:asciiTheme="minorEastAsia" w:eastAsiaTheme="minorEastAsia" w:hAnsiTheme="minorEastAsia" w:hint="eastAsia"/>
          <w:sz w:val="24"/>
        </w:rPr>
        <w:t>股，占公司总股本的</w:t>
      </w:r>
      <w:r>
        <w:rPr>
          <w:rFonts w:eastAsiaTheme="minorEastAsia" w:hint="eastAsia"/>
          <w:sz w:val="24"/>
        </w:rPr>
        <w:t>19</w:t>
      </w:r>
      <w:r>
        <w:rPr>
          <w:rFonts w:asciiTheme="minorEastAsia" w:eastAsiaTheme="minorEastAsia" w:hAnsiTheme="minorEastAsia" w:hint="eastAsia"/>
          <w:sz w:val="24"/>
        </w:rPr>
        <w:t>.</w:t>
      </w:r>
      <w:r>
        <w:rPr>
          <w:rFonts w:eastAsiaTheme="minorEastAsia" w:hint="eastAsia"/>
          <w:sz w:val="24"/>
        </w:rPr>
        <w:t>79</w:t>
      </w:r>
      <w:r>
        <w:rPr>
          <w:rFonts w:asciiTheme="minorEastAsia" w:eastAsiaTheme="minorEastAsia" w:hAnsiTheme="minorEastAsia" w:hint="eastAsia"/>
          <w:sz w:val="24"/>
        </w:rPr>
        <w:t>%。</w:t>
      </w:r>
    </w:p>
    <w:p w14:paraId="6A68D5D4" w14:textId="77777777" w:rsidR="00D26039" w:rsidRDefault="00B30650">
      <w:pPr>
        <w:spacing w:beforeLines="50" w:before="156"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本预案</w:t>
      </w:r>
      <w:r>
        <w:rPr>
          <w:rFonts w:asciiTheme="minorEastAsia" w:eastAsiaTheme="minorEastAsia" w:hAnsiTheme="minorEastAsia"/>
          <w:sz w:val="24"/>
        </w:rPr>
        <w:t>公告</w:t>
      </w:r>
      <w:r>
        <w:rPr>
          <w:rFonts w:asciiTheme="minorEastAsia" w:eastAsiaTheme="minorEastAsia" w:hAnsiTheme="minorEastAsia" w:hint="eastAsia"/>
          <w:sz w:val="24"/>
        </w:rPr>
        <w:t>前</w:t>
      </w:r>
      <w:r>
        <w:rPr>
          <w:rFonts w:eastAsiaTheme="minorEastAsia"/>
          <w:sz w:val="24"/>
        </w:rPr>
        <w:t>24</w:t>
      </w:r>
      <w:r>
        <w:rPr>
          <w:rFonts w:asciiTheme="minorEastAsia" w:eastAsiaTheme="minorEastAsia" w:hAnsiTheme="minorEastAsia" w:hint="eastAsia"/>
          <w:sz w:val="24"/>
        </w:rPr>
        <w:t>个月内，除上述公司已在定期报告或临时公告中披露的重大交易外，上市公司与大江投资无其他重大交易。</w:t>
      </w:r>
    </w:p>
    <w:p w14:paraId="52E01DD3" w14:textId="77777777" w:rsidR="00D26039" w:rsidRDefault="00B30650">
      <w:pPr>
        <w:pStyle w:val="2"/>
        <w:autoSpaceDE w:val="0"/>
        <w:spacing w:beforeLines="50" w:before="156" w:afterLines="50" w:after="156" w:line="360" w:lineRule="auto"/>
        <w:rPr>
          <w:rFonts w:ascii="Times New Roman" w:hAnsi="Times New Roman"/>
          <w:szCs w:val="28"/>
        </w:rPr>
      </w:pPr>
      <w:bookmarkStart w:id="46" w:name="_Toc111905411"/>
      <w:r>
        <w:rPr>
          <w:rFonts w:ascii="Times New Roman" w:hAnsi="Times New Roman" w:hint="eastAsia"/>
          <w:szCs w:val="28"/>
        </w:rPr>
        <w:t>八、认购资金来源情况</w:t>
      </w:r>
      <w:bookmarkEnd w:id="46"/>
    </w:p>
    <w:p w14:paraId="7AE5127F" w14:textId="77777777" w:rsidR="00D26039" w:rsidRDefault="00B30650">
      <w:pPr>
        <w:spacing w:beforeLines="50" w:before="156"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大江投资将以自有资金或自筹资金认购公司本次非公开发行股份。</w:t>
      </w:r>
    </w:p>
    <w:p w14:paraId="41039317" w14:textId="77777777" w:rsidR="00D26039" w:rsidRDefault="00D26039">
      <w:pPr>
        <w:pStyle w:val="1"/>
        <w:autoSpaceDE w:val="0"/>
        <w:sectPr w:rsidR="00D26039">
          <w:pgSz w:w="11906" w:h="16838"/>
          <w:pgMar w:top="1440" w:right="1800" w:bottom="1440" w:left="1800" w:header="851" w:footer="992" w:gutter="0"/>
          <w:cols w:space="425"/>
          <w:docGrid w:type="lines" w:linePitch="312"/>
        </w:sectPr>
      </w:pPr>
    </w:p>
    <w:p w14:paraId="412EA40F" w14:textId="77777777" w:rsidR="00D26039" w:rsidRDefault="00B30650">
      <w:pPr>
        <w:pStyle w:val="1"/>
        <w:autoSpaceDE w:val="0"/>
        <w:spacing w:beforeLines="50" w:before="156" w:afterLines="50" w:after="156" w:line="360" w:lineRule="auto"/>
      </w:pPr>
      <w:bookmarkStart w:id="47" w:name="_Toc111905412"/>
      <w:r>
        <w:rPr>
          <w:rFonts w:hint="eastAsia"/>
        </w:rPr>
        <w:lastRenderedPageBreak/>
        <w:t>第三节</w:t>
      </w:r>
      <w:r>
        <w:t xml:space="preserve">  </w:t>
      </w:r>
      <w:r>
        <w:rPr>
          <w:rFonts w:hint="eastAsia"/>
        </w:rPr>
        <w:t>本次非公开发行认购协议的主要内容</w:t>
      </w:r>
      <w:bookmarkEnd w:id="47"/>
    </w:p>
    <w:p w14:paraId="3558B0F6" w14:textId="024CA7B6" w:rsidR="00D26039" w:rsidRDefault="00B30650">
      <w:pPr>
        <w:autoSpaceDE w:val="0"/>
        <w:spacing w:beforeLines="50" w:before="156" w:afterLines="50" w:after="156" w:line="360" w:lineRule="auto"/>
        <w:ind w:firstLineChars="200" w:firstLine="480"/>
        <w:rPr>
          <w:sz w:val="24"/>
        </w:rPr>
      </w:pPr>
      <w:r>
        <w:rPr>
          <w:sz w:val="24"/>
        </w:rPr>
        <w:t>上市公司与大江投资于</w:t>
      </w:r>
      <w:r>
        <w:rPr>
          <w:sz w:val="24"/>
        </w:rPr>
        <w:t>2022</w:t>
      </w:r>
      <w:r>
        <w:rPr>
          <w:sz w:val="24"/>
        </w:rPr>
        <w:t>年</w:t>
      </w:r>
      <w:r>
        <w:rPr>
          <w:sz w:val="24"/>
        </w:rPr>
        <w:t>8</w:t>
      </w:r>
      <w:r>
        <w:rPr>
          <w:sz w:val="24"/>
        </w:rPr>
        <w:t>月</w:t>
      </w:r>
      <w:r w:rsidR="00D47A78">
        <w:rPr>
          <w:rFonts w:hint="eastAsia"/>
          <w:sz w:val="24"/>
        </w:rPr>
        <w:t>3</w:t>
      </w:r>
      <w:r w:rsidR="00D47A78">
        <w:rPr>
          <w:sz w:val="24"/>
        </w:rPr>
        <w:t>0</w:t>
      </w:r>
      <w:r>
        <w:rPr>
          <w:sz w:val="24"/>
        </w:rPr>
        <w:t>日签署了</w:t>
      </w:r>
      <w:r>
        <w:rPr>
          <w:rFonts w:hint="eastAsia"/>
          <w:sz w:val="24"/>
        </w:rPr>
        <w:t>《</w:t>
      </w:r>
      <w:r>
        <w:rPr>
          <w:sz w:val="24"/>
        </w:rPr>
        <w:t>附条件生效的</w:t>
      </w:r>
      <w:r>
        <w:rPr>
          <w:rFonts w:hint="eastAsia"/>
          <w:sz w:val="24"/>
        </w:rPr>
        <w:t>股份</w:t>
      </w:r>
      <w:r>
        <w:rPr>
          <w:sz w:val="24"/>
        </w:rPr>
        <w:t>认购协议</w:t>
      </w:r>
      <w:r>
        <w:rPr>
          <w:rFonts w:hint="eastAsia"/>
          <w:sz w:val="24"/>
        </w:rPr>
        <w:t>》</w:t>
      </w:r>
      <w:r>
        <w:rPr>
          <w:sz w:val="24"/>
        </w:rPr>
        <w:t>，协议主要内容如下：</w:t>
      </w:r>
    </w:p>
    <w:p w14:paraId="26899B38" w14:textId="77777777" w:rsidR="00D26039" w:rsidRDefault="00B30650">
      <w:pPr>
        <w:pStyle w:val="2"/>
        <w:autoSpaceDE w:val="0"/>
        <w:spacing w:beforeLines="50" w:before="156" w:afterLines="50" w:after="156" w:line="360" w:lineRule="auto"/>
        <w:rPr>
          <w:rFonts w:ascii="Times New Roman" w:hAnsi="Times New Roman"/>
          <w:szCs w:val="28"/>
        </w:rPr>
      </w:pPr>
      <w:bookmarkStart w:id="48" w:name="_Toc111905413"/>
      <w:bookmarkStart w:id="49" w:name="_Hlk112185358"/>
      <w:r>
        <w:rPr>
          <w:rFonts w:ascii="Times New Roman" w:hAnsi="Times New Roman" w:hint="eastAsia"/>
          <w:szCs w:val="28"/>
        </w:rPr>
        <w:t>一、</w:t>
      </w:r>
      <w:bookmarkStart w:id="50" w:name="_Hlk112185387"/>
      <w:r>
        <w:rPr>
          <w:rFonts w:ascii="Times New Roman" w:hAnsi="Times New Roman" w:hint="eastAsia"/>
          <w:szCs w:val="28"/>
        </w:rPr>
        <w:t>协议主体与签订时间</w:t>
      </w:r>
      <w:bookmarkEnd w:id="48"/>
      <w:bookmarkEnd w:id="50"/>
    </w:p>
    <w:p w14:paraId="0814829F" w14:textId="4CCD5F4D" w:rsidR="00D26039" w:rsidRDefault="00B30650">
      <w:pPr>
        <w:autoSpaceDE w:val="0"/>
        <w:spacing w:beforeLines="50" w:before="156" w:line="360" w:lineRule="auto"/>
        <w:ind w:firstLineChars="200" w:firstLine="480"/>
        <w:rPr>
          <w:rFonts w:ascii="宋体" w:hAnsi="宋体"/>
          <w:sz w:val="24"/>
        </w:rPr>
      </w:pPr>
      <w:r>
        <w:rPr>
          <w:rFonts w:ascii="宋体" w:hAnsi="宋体" w:hint="eastAsia"/>
          <w:sz w:val="24"/>
        </w:rPr>
        <w:t>甲方：</w:t>
      </w:r>
      <w:r>
        <w:rPr>
          <w:rFonts w:hint="eastAsia"/>
          <w:sz w:val="24"/>
        </w:rPr>
        <w:t>安徽铜峰电子股份有限公司</w:t>
      </w:r>
    </w:p>
    <w:p w14:paraId="15E3C7FC" w14:textId="77777777" w:rsidR="00D26039" w:rsidRDefault="00B30650">
      <w:pPr>
        <w:autoSpaceDE w:val="0"/>
        <w:spacing w:beforeLines="50" w:before="156" w:line="360" w:lineRule="auto"/>
        <w:ind w:firstLineChars="200" w:firstLine="480"/>
        <w:rPr>
          <w:rFonts w:ascii="宋体" w:hAnsi="宋体"/>
          <w:sz w:val="24"/>
        </w:rPr>
      </w:pPr>
      <w:r>
        <w:rPr>
          <w:rFonts w:ascii="宋体" w:hAnsi="宋体" w:hint="eastAsia"/>
          <w:sz w:val="24"/>
        </w:rPr>
        <w:t>乙方：</w:t>
      </w:r>
      <w:r>
        <w:rPr>
          <w:rFonts w:ascii="宋体" w:hAnsi="宋体" w:hint="eastAsia"/>
          <w:color w:val="000000"/>
          <w:sz w:val="24"/>
        </w:rPr>
        <w:t>铜陵大江投资控股有限公司</w:t>
      </w:r>
    </w:p>
    <w:p w14:paraId="5E7BC731" w14:textId="49059283" w:rsidR="00D26039" w:rsidRDefault="00B30650">
      <w:pPr>
        <w:autoSpaceDE w:val="0"/>
        <w:spacing w:beforeLines="50" w:before="156" w:line="360" w:lineRule="auto"/>
        <w:ind w:firstLineChars="200" w:firstLine="480"/>
        <w:rPr>
          <w:rFonts w:ascii="宋体" w:hAnsi="宋体"/>
          <w:sz w:val="24"/>
        </w:rPr>
      </w:pPr>
      <w:bookmarkStart w:id="51" w:name="_Hlk112185397"/>
      <w:r>
        <w:rPr>
          <w:rFonts w:ascii="宋体" w:hAnsi="宋体" w:hint="eastAsia"/>
          <w:sz w:val="24"/>
        </w:rPr>
        <w:t>签订时间：</w:t>
      </w:r>
      <w:r>
        <w:rPr>
          <w:rFonts w:ascii="宋体" w:hAnsi="宋体"/>
          <w:sz w:val="24"/>
        </w:rPr>
        <w:t>2022</w:t>
      </w:r>
      <w:r>
        <w:rPr>
          <w:rFonts w:ascii="宋体" w:hAnsi="宋体" w:hint="eastAsia"/>
          <w:sz w:val="24"/>
        </w:rPr>
        <w:t>年</w:t>
      </w:r>
      <w:r>
        <w:rPr>
          <w:rFonts w:ascii="宋体" w:hAnsi="宋体"/>
          <w:sz w:val="24"/>
        </w:rPr>
        <w:t>8</w:t>
      </w:r>
      <w:r>
        <w:rPr>
          <w:rFonts w:ascii="宋体" w:hAnsi="宋体" w:hint="eastAsia"/>
          <w:sz w:val="24"/>
        </w:rPr>
        <w:t>月</w:t>
      </w:r>
      <w:r w:rsidR="00D47A78">
        <w:rPr>
          <w:rFonts w:ascii="宋体" w:hAnsi="宋体" w:hint="eastAsia"/>
          <w:sz w:val="24"/>
        </w:rPr>
        <w:t>3</w:t>
      </w:r>
      <w:r w:rsidR="00D47A78">
        <w:rPr>
          <w:rFonts w:ascii="宋体" w:hAnsi="宋体"/>
          <w:sz w:val="24"/>
        </w:rPr>
        <w:t>0</w:t>
      </w:r>
      <w:r>
        <w:rPr>
          <w:rFonts w:ascii="宋体" w:hAnsi="宋体" w:hint="eastAsia"/>
          <w:sz w:val="24"/>
        </w:rPr>
        <w:t>日</w:t>
      </w:r>
    </w:p>
    <w:p w14:paraId="4D9588ED" w14:textId="77777777" w:rsidR="00D26039" w:rsidRDefault="00B30650">
      <w:pPr>
        <w:pStyle w:val="2"/>
        <w:autoSpaceDE w:val="0"/>
        <w:spacing w:beforeLines="50" w:before="156" w:afterLines="50" w:after="156" w:line="360" w:lineRule="auto"/>
        <w:rPr>
          <w:rFonts w:ascii="Times New Roman" w:hAnsi="Times New Roman"/>
          <w:szCs w:val="28"/>
        </w:rPr>
      </w:pPr>
      <w:bookmarkStart w:id="52" w:name="_Toc111905414"/>
      <w:bookmarkEnd w:id="51"/>
      <w:r>
        <w:rPr>
          <w:rFonts w:ascii="Times New Roman" w:hAnsi="Times New Roman" w:hint="eastAsia"/>
          <w:szCs w:val="28"/>
        </w:rPr>
        <w:t>二、</w:t>
      </w:r>
      <w:bookmarkStart w:id="53" w:name="_Hlk112185463"/>
      <w:r>
        <w:rPr>
          <w:rFonts w:ascii="Times New Roman" w:hAnsi="Times New Roman" w:hint="eastAsia"/>
          <w:szCs w:val="28"/>
        </w:rPr>
        <w:t>认购协议的主要内容</w:t>
      </w:r>
      <w:bookmarkEnd w:id="52"/>
      <w:bookmarkEnd w:id="53"/>
    </w:p>
    <w:p w14:paraId="7CB2DC0A"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（一）</w:t>
      </w:r>
      <w:bookmarkStart w:id="54" w:name="_Hlk112185226"/>
      <w:r>
        <w:rPr>
          <w:rFonts w:eastAsia="黑体"/>
          <w:b/>
          <w:bCs/>
          <w:kern w:val="0"/>
          <w:sz w:val="24"/>
        </w:rPr>
        <w:t>认购价格、方式</w:t>
      </w:r>
      <w:r>
        <w:rPr>
          <w:rFonts w:eastAsia="黑体" w:hint="eastAsia"/>
          <w:b/>
          <w:bCs/>
          <w:kern w:val="0"/>
          <w:sz w:val="24"/>
        </w:rPr>
        <w:t>、</w:t>
      </w:r>
      <w:r>
        <w:rPr>
          <w:rFonts w:eastAsia="黑体"/>
          <w:b/>
          <w:bCs/>
          <w:kern w:val="0"/>
          <w:sz w:val="24"/>
        </w:rPr>
        <w:t>数量</w:t>
      </w:r>
      <w:r>
        <w:rPr>
          <w:rFonts w:eastAsia="黑体" w:hint="eastAsia"/>
          <w:b/>
          <w:bCs/>
          <w:kern w:val="0"/>
          <w:sz w:val="24"/>
        </w:rPr>
        <w:t>及认购金额</w:t>
      </w:r>
      <w:bookmarkEnd w:id="54"/>
    </w:p>
    <w:p w14:paraId="74B053B5" w14:textId="77777777" w:rsidR="00D26039" w:rsidRDefault="00B30650">
      <w:pPr>
        <w:autoSpaceDE w:val="0"/>
        <w:adjustRightInd w:val="0"/>
        <w:spacing w:beforeLines="50" w:before="156" w:afterLines="50" w:after="156" w:line="360" w:lineRule="auto"/>
        <w:ind w:firstLineChars="200" w:firstLine="480"/>
        <w:rPr>
          <w:kern w:val="0"/>
          <w:sz w:val="24"/>
        </w:rPr>
      </w:pPr>
      <w:bookmarkStart w:id="55" w:name="_Hlk112185169"/>
      <w:r>
        <w:rPr>
          <w:rFonts w:hint="eastAsia"/>
          <w:sz w:val="24"/>
        </w:rPr>
        <w:t>1</w:t>
      </w:r>
      <w:r>
        <w:rPr>
          <w:rFonts w:hint="eastAsia"/>
          <w:sz w:val="24"/>
        </w:rPr>
        <w:t>、认购价格：</w:t>
      </w:r>
      <w:bookmarkStart w:id="56" w:name="_Hlk111910966"/>
      <w:r>
        <w:rPr>
          <w:rFonts w:hint="eastAsia"/>
          <w:kern w:val="0"/>
          <w:sz w:val="24"/>
        </w:rPr>
        <w:t>本次非公开发行的定价基准日为甲方本次非公开发行的发行期首日，发行价格不低于定价基准日前</w:t>
      </w:r>
      <w:r>
        <w:rPr>
          <w:rFonts w:hint="eastAsia"/>
          <w:kern w:val="0"/>
          <w:sz w:val="24"/>
        </w:rPr>
        <w:t>20</w:t>
      </w:r>
      <w:r>
        <w:rPr>
          <w:rFonts w:hint="eastAsia"/>
          <w:kern w:val="0"/>
          <w:sz w:val="24"/>
        </w:rPr>
        <w:t>个交易日甲方股票交易均价的</w:t>
      </w:r>
      <w:r>
        <w:rPr>
          <w:rFonts w:hint="eastAsia"/>
          <w:kern w:val="0"/>
          <w:sz w:val="24"/>
        </w:rPr>
        <w:t>80%</w:t>
      </w:r>
      <w:r>
        <w:rPr>
          <w:rFonts w:hint="eastAsia"/>
          <w:kern w:val="0"/>
          <w:sz w:val="24"/>
        </w:rPr>
        <w:t>。定价基准日前</w:t>
      </w:r>
      <w:r>
        <w:rPr>
          <w:rFonts w:hint="eastAsia"/>
          <w:kern w:val="0"/>
          <w:sz w:val="24"/>
        </w:rPr>
        <w:t>20</w:t>
      </w:r>
      <w:r>
        <w:rPr>
          <w:rFonts w:hint="eastAsia"/>
          <w:kern w:val="0"/>
          <w:sz w:val="24"/>
        </w:rPr>
        <w:t>个交易日甲方股票交易均价</w:t>
      </w:r>
      <w:r>
        <w:rPr>
          <w:rFonts w:hint="eastAsia"/>
          <w:kern w:val="0"/>
          <w:sz w:val="24"/>
        </w:rPr>
        <w:t>=</w:t>
      </w:r>
      <w:r>
        <w:rPr>
          <w:rFonts w:hint="eastAsia"/>
          <w:kern w:val="0"/>
          <w:sz w:val="24"/>
        </w:rPr>
        <w:t>定价基准日前</w:t>
      </w:r>
      <w:r>
        <w:rPr>
          <w:rFonts w:hint="eastAsia"/>
          <w:kern w:val="0"/>
          <w:sz w:val="24"/>
        </w:rPr>
        <w:t>20</w:t>
      </w:r>
      <w:r>
        <w:rPr>
          <w:rFonts w:hint="eastAsia"/>
          <w:kern w:val="0"/>
          <w:sz w:val="24"/>
        </w:rPr>
        <w:t>个交易日甲方</w:t>
      </w:r>
      <w:r>
        <w:rPr>
          <w:rFonts w:hint="eastAsia"/>
          <w:kern w:val="0"/>
          <w:sz w:val="24"/>
        </w:rPr>
        <w:t>A</w:t>
      </w:r>
      <w:r>
        <w:rPr>
          <w:rFonts w:hint="eastAsia"/>
          <w:kern w:val="0"/>
          <w:sz w:val="24"/>
        </w:rPr>
        <w:t>股股票交易总额</w:t>
      </w:r>
      <w:r>
        <w:rPr>
          <w:rFonts w:hint="eastAsia"/>
          <w:kern w:val="0"/>
          <w:sz w:val="24"/>
        </w:rPr>
        <w:t>/</w:t>
      </w:r>
      <w:r>
        <w:rPr>
          <w:rFonts w:hint="eastAsia"/>
          <w:kern w:val="0"/>
          <w:sz w:val="24"/>
        </w:rPr>
        <w:t>定价基准日前</w:t>
      </w:r>
      <w:r>
        <w:rPr>
          <w:rFonts w:hint="eastAsia"/>
          <w:kern w:val="0"/>
          <w:sz w:val="24"/>
        </w:rPr>
        <w:t>20</w:t>
      </w:r>
      <w:r>
        <w:rPr>
          <w:rFonts w:hint="eastAsia"/>
          <w:kern w:val="0"/>
          <w:sz w:val="24"/>
        </w:rPr>
        <w:t>个交易日甲方</w:t>
      </w:r>
      <w:r>
        <w:rPr>
          <w:rFonts w:hint="eastAsia"/>
          <w:kern w:val="0"/>
          <w:sz w:val="24"/>
        </w:rPr>
        <w:t>A</w:t>
      </w:r>
      <w:r>
        <w:rPr>
          <w:rFonts w:hint="eastAsia"/>
          <w:kern w:val="0"/>
          <w:sz w:val="24"/>
        </w:rPr>
        <w:t>股股票交易总量（以下简称“发行底价”）。若在该</w:t>
      </w:r>
      <w:r>
        <w:rPr>
          <w:rFonts w:hint="eastAsia"/>
          <w:kern w:val="0"/>
          <w:sz w:val="24"/>
        </w:rPr>
        <w:t>20</w:t>
      </w:r>
      <w:r>
        <w:rPr>
          <w:rFonts w:hint="eastAsia"/>
          <w:kern w:val="0"/>
          <w:sz w:val="24"/>
        </w:rPr>
        <w:t>个交易日内甲方发生因派息、送股、资本公积转增股本等除权、除息事项引起股价调整的情形，则对调整前交易日的交易价格</w:t>
      </w:r>
      <w:proofErr w:type="gramStart"/>
      <w:r>
        <w:rPr>
          <w:rFonts w:hint="eastAsia"/>
          <w:kern w:val="0"/>
          <w:sz w:val="24"/>
        </w:rPr>
        <w:t>按经过</w:t>
      </w:r>
      <w:proofErr w:type="gramEnd"/>
      <w:r>
        <w:rPr>
          <w:rFonts w:hint="eastAsia"/>
          <w:kern w:val="0"/>
          <w:sz w:val="24"/>
        </w:rPr>
        <w:t>相应除权、除息调整后的价格计算。</w:t>
      </w:r>
    </w:p>
    <w:p w14:paraId="2B882C22"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若甲方股票在定价基准日至发行日期间发生派息、送股、资本公积转增股本等除权、除息事项，则前述发行底价应进行相应调整。调整方式如下：</w:t>
      </w:r>
      <w:r>
        <w:rPr>
          <w:rFonts w:hint="eastAsia"/>
          <w:kern w:val="0"/>
          <w:sz w:val="24"/>
        </w:rPr>
        <w:t xml:space="preserve"> </w:t>
      </w:r>
    </w:p>
    <w:p w14:paraId="2211E50D"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现金分红：</w:t>
      </w:r>
      <w:r>
        <w:rPr>
          <w:rFonts w:hint="eastAsia"/>
          <w:kern w:val="0"/>
          <w:sz w:val="24"/>
        </w:rPr>
        <w:t xml:space="preserve">P1=P0-D </w:t>
      </w:r>
    </w:p>
    <w:p w14:paraId="238CEF41"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送股或资本公积金转增股本：</w:t>
      </w:r>
      <w:r>
        <w:rPr>
          <w:rFonts w:hint="eastAsia"/>
          <w:kern w:val="0"/>
          <w:sz w:val="24"/>
        </w:rPr>
        <w:t xml:space="preserve">P1=P0/(1+N) </w:t>
      </w:r>
    </w:p>
    <w:p w14:paraId="70C347AF"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现金分红同时送股或资本公积金转增股本：</w:t>
      </w:r>
      <w:r>
        <w:rPr>
          <w:rFonts w:hint="eastAsia"/>
          <w:kern w:val="0"/>
          <w:sz w:val="24"/>
        </w:rPr>
        <w:t xml:space="preserve">P1=(P0-D)/(1+N) </w:t>
      </w:r>
    </w:p>
    <w:p w14:paraId="0EA1F1D3"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其中，</w:t>
      </w:r>
      <w:r>
        <w:rPr>
          <w:rFonts w:hint="eastAsia"/>
          <w:kern w:val="0"/>
          <w:sz w:val="24"/>
        </w:rPr>
        <w:t>P0</w:t>
      </w:r>
      <w:r>
        <w:rPr>
          <w:rFonts w:hint="eastAsia"/>
          <w:kern w:val="0"/>
          <w:sz w:val="24"/>
        </w:rPr>
        <w:t>为调整前发行价格，</w:t>
      </w:r>
      <w:r>
        <w:rPr>
          <w:rFonts w:hint="eastAsia"/>
          <w:kern w:val="0"/>
          <w:sz w:val="24"/>
        </w:rPr>
        <w:t>D</w:t>
      </w:r>
      <w:r>
        <w:rPr>
          <w:rFonts w:hint="eastAsia"/>
          <w:kern w:val="0"/>
          <w:sz w:val="24"/>
        </w:rPr>
        <w:t>为每股派发现金分红，</w:t>
      </w:r>
      <w:r>
        <w:rPr>
          <w:rFonts w:hint="eastAsia"/>
          <w:kern w:val="0"/>
          <w:sz w:val="24"/>
        </w:rPr>
        <w:t>N</w:t>
      </w:r>
      <w:r>
        <w:rPr>
          <w:rFonts w:hint="eastAsia"/>
          <w:kern w:val="0"/>
          <w:sz w:val="24"/>
        </w:rPr>
        <w:t>为每股送股或资本公积金转增股本，调整后发行价格为</w:t>
      </w:r>
      <w:r>
        <w:rPr>
          <w:rFonts w:hint="eastAsia"/>
          <w:kern w:val="0"/>
          <w:sz w:val="24"/>
        </w:rPr>
        <w:t>P1</w:t>
      </w:r>
      <w:r>
        <w:rPr>
          <w:rFonts w:hint="eastAsia"/>
          <w:kern w:val="0"/>
          <w:sz w:val="24"/>
        </w:rPr>
        <w:t>。</w:t>
      </w:r>
    </w:p>
    <w:p w14:paraId="75C6D8D5" w14:textId="77777777" w:rsidR="00D26039" w:rsidRDefault="00B30650">
      <w:pPr>
        <w:autoSpaceDE w:val="0"/>
        <w:adjustRightInd w:val="0"/>
        <w:spacing w:beforeLines="50" w:before="156" w:afterLines="50" w:after="156" w:line="360" w:lineRule="auto"/>
        <w:ind w:firstLineChars="200" w:firstLine="480"/>
        <w:rPr>
          <w:sz w:val="24"/>
        </w:rPr>
      </w:pPr>
      <w:r>
        <w:rPr>
          <w:rFonts w:hint="eastAsia"/>
          <w:kern w:val="0"/>
          <w:sz w:val="24"/>
        </w:rPr>
        <w:t>本次发行申请取得中国证监会核准批文后，最终发行价格将根据投资者申购</w:t>
      </w:r>
      <w:r>
        <w:rPr>
          <w:rFonts w:hint="eastAsia"/>
          <w:kern w:val="0"/>
          <w:sz w:val="24"/>
        </w:rPr>
        <w:lastRenderedPageBreak/>
        <w:t>报价情况，由甲方董事会在股东大会的授权范围内，与本次发行的保荐机构（主承销商）协商确定。乙方不参与本次发行的市场竞价过程，同意竞价结果并以与其他投资者相同的价格认购本次发行的股份。若本次非公开发行没有通过竞价方式产生发行价格，乙方将继续参与认购，并以本次发行底价（定价基准日前</w:t>
      </w:r>
      <w:r>
        <w:rPr>
          <w:rFonts w:hint="eastAsia"/>
          <w:kern w:val="0"/>
          <w:sz w:val="24"/>
        </w:rPr>
        <w:t>20</w:t>
      </w:r>
      <w:r>
        <w:rPr>
          <w:rFonts w:hint="eastAsia"/>
          <w:kern w:val="0"/>
          <w:sz w:val="24"/>
        </w:rPr>
        <w:t>个交易日甲方股票交易均价的</w:t>
      </w:r>
      <w:r>
        <w:rPr>
          <w:rFonts w:hint="eastAsia"/>
          <w:kern w:val="0"/>
          <w:sz w:val="24"/>
        </w:rPr>
        <w:t>80%</w:t>
      </w:r>
      <w:r>
        <w:rPr>
          <w:rFonts w:hint="eastAsia"/>
          <w:kern w:val="0"/>
          <w:sz w:val="24"/>
        </w:rPr>
        <w:t>）作为认购价格。</w:t>
      </w:r>
    </w:p>
    <w:bookmarkEnd w:id="56"/>
    <w:p w14:paraId="68795185" w14:textId="77777777" w:rsidR="00D26039" w:rsidRDefault="00B30650">
      <w:pPr>
        <w:spacing w:beforeLines="50" w:before="156" w:afterLines="50" w:after="156" w:line="360" w:lineRule="auto"/>
        <w:ind w:firstLineChars="200" w:firstLine="480"/>
        <w:rPr>
          <w:sz w:val="24"/>
        </w:rPr>
      </w:pPr>
      <w:r>
        <w:rPr>
          <w:rFonts w:hint="eastAsia"/>
          <w:sz w:val="24"/>
        </w:rPr>
        <w:t>2</w:t>
      </w:r>
      <w:r>
        <w:rPr>
          <w:rFonts w:hint="eastAsia"/>
          <w:sz w:val="24"/>
        </w:rPr>
        <w:t>、认购方式：乙方以现金认购甲方向其非公开发行的股票。</w:t>
      </w:r>
    </w:p>
    <w:p w14:paraId="11395C1F" w14:textId="77777777" w:rsidR="00D26039" w:rsidRDefault="00B30650">
      <w:pPr>
        <w:spacing w:beforeLines="50" w:before="156" w:afterLines="50" w:after="156" w:line="360" w:lineRule="auto"/>
        <w:ind w:firstLineChars="200" w:firstLine="480"/>
        <w:rPr>
          <w:sz w:val="24"/>
        </w:rPr>
      </w:pPr>
      <w:r>
        <w:rPr>
          <w:sz w:val="24"/>
        </w:rPr>
        <w:t>3</w:t>
      </w:r>
      <w:r>
        <w:rPr>
          <w:rFonts w:hint="eastAsia"/>
          <w:sz w:val="24"/>
        </w:rPr>
        <w:t>、认购数量：</w:t>
      </w:r>
      <w:bookmarkStart w:id="57" w:name="_Hlk111911121"/>
      <w:r>
        <w:rPr>
          <w:rFonts w:hint="eastAsia"/>
          <w:sz w:val="24"/>
        </w:rPr>
        <w:t>本次非公开发行股票数量不超过发行前甲方总股本的</w:t>
      </w:r>
      <w:r>
        <w:rPr>
          <w:rFonts w:hint="eastAsia"/>
          <w:sz w:val="24"/>
        </w:rPr>
        <w:t>30%</w:t>
      </w:r>
      <w:r>
        <w:rPr>
          <w:rFonts w:hint="eastAsia"/>
          <w:sz w:val="24"/>
        </w:rPr>
        <w:t>，即不超过</w:t>
      </w:r>
      <w:r>
        <w:rPr>
          <w:rFonts w:hint="eastAsia"/>
          <w:sz w:val="24"/>
        </w:rPr>
        <w:t>169,310,869</w:t>
      </w:r>
      <w:r>
        <w:rPr>
          <w:rFonts w:hint="eastAsia"/>
          <w:sz w:val="24"/>
        </w:rPr>
        <w:t>股（含本数），本次发行中，乙方拟以现金方式认购股份总数不低于本次非公开发行总股数的</w:t>
      </w:r>
      <w:r>
        <w:rPr>
          <w:rFonts w:hint="eastAsia"/>
          <w:sz w:val="24"/>
        </w:rPr>
        <w:t>20%</w:t>
      </w:r>
      <w:r>
        <w:rPr>
          <w:rFonts w:hint="eastAsia"/>
          <w:sz w:val="24"/>
        </w:rPr>
        <w:t>（含本数），且本次发行完成后持股比例不超过甲方总股本的</w:t>
      </w:r>
      <w:r>
        <w:rPr>
          <w:rFonts w:hint="eastAsia"/>
          <w:sz w:val="24"/>
        </w:rPr>
        <w:t>30%</w:t>
      </w:r>
      <w:r>
        <w:rPr>
          <w:rFonts w:hint="eastAsia"/>
          <w:sz w:val="24"/>
        </w:rPr>
        <w:t>。</w:t>
      </w:r>
    </w:p>
    <w:p w14:paraId="608FCDF4" w14:textId="77777777" w:rsidR="00D26039" w:rsidRDefault="00B30650">
      <w:pPr>
        <w:spacing w:beforeLines="50" w:before="156" w:afterLines="50" w:after="156" w:line="360" w:lineRule="auto"/>
        <w:ind w:firstLineChars="200" w:firstLine="480"/>
        <w:rPr>
          <w:sz w:val="24"/>
        </w:rPr>
      </w:pPr>
      <w:r>
        <w:rPr>
          <w:sz w:val="24"/>
        </w:rPr>
        <w:t>若</w:t>
      </w:r>
      <w:r>
        <w:rPr>
          <w:rFonts w:hint="eastAsia"/>
          <w:sz w:val="24"/>
        </w:rPr>
        <w:t>甲方</w:t>
      </w:r>
      <w:r>
        <w:rPr>
          <w:sz w:val="24"/>
        </w:rPr>
        <w:t>股票在</w:t>
      </w:r>
      <w:r>
        <w:rPr>
          <w:rFonts w:hint="eastAsia"/>
          <w:sz w:val="24"/>
        </w:rPr>
        <w:t>定价基准日</w:t>
      </w:r>
      <w:r>
        <w:rPr>
          <w:sz w:val="24"/>
        </w:rPr>
        <w:t>至发行日期间</w:t>
      </w:r>
      <w:r>
        <w:rPr>
          <w:rFonts w:hint="eastAsia"/>
          <w:sz w:val="24"/>
        </w:rPr>
        <w:t>发生现金分红、送股、资本公积金转增股本等</w:t>
      </w:r>
      <w:r>
        <w:rPr>
          <w:sz w:val="24"/>
        </w:rPr>
        <w:t>除权、除息事项，本次非公开发行股票数量将作相应调整。</w:t>
      </w:r>
      <w:r>
        <w:rPr>
          <w:rFonts w:hint="eastAsia"/>
          <w:sz w:val="24"/>
        </w:rPr>
        <w:t>最终发行数量将在甲方取得中国证监会关于本次发行核准批文后，根据发行对象申购报价的情况，由甲方董事会根据股东大会的授权与保荐机构（主承销商）协商确定最终的发行数量。</w:t>
      </w:r>
    </w:p>
    <w:bookmarkEnd w:id="57"/>
    <w:p w14:paraId="07DCE86E" w14:textId="77777777" w:rsidR="00D26039" w:rsidRDefault="00B30650">
      <w:pPr>
        <w:spacing w:beforeLines="50" w:before="156" w:afterLines="50" w:after="156" w:line="360" w:lineRule="auto"/>
        <w:ind w:firstLineChars="200" w:firstLine="480"/>
        <w:rPr>
          <w:sz w:val="24"/>
        </w:rPr>
      </w:pPr>
      <w:r>
        <w:rPr>
          <w:sz w:val="24"/>
        </w:rPr>
        <w:t>4</w:t>
      </w:r>
      <w:r>
        <w:rPr>
          <w:rFonts w:hint="eastAsia"/>
          <w:sz w:val="24"/>
        </w:rPr>
        <w:t>、认购金额：认购金额为约定的认购价格乘以约定的认购数量。</w:t>
      </w:r>
      <w:bookmarkEnd w:id="55"/>
    </w:p>
    <w:p w14:paraId="40CD6ED2" w14:textId="77777777" w:rsidR="00D26039" w:rsidRDefault="00B30650">
      <w:pPr>
        <w:autoSpaceDE w:val="0"/>
        <w:spacing w:beforeLines="50" w:before="156" w:afterLines="50" w:after="156" w:line="360" w:lineRule="auto"/>
        <w:ind w:firstLineChars="200" w:firstLine="482"/>
        <w:rPr>
          <w:rFonts w:eastAsia="黑体"/>
          <w:b/>
          <w:bCs/>
          <w:kern w:val="0"/>
          <w:sz w:val="24"/>
        </w:rPr>
      </w:pPr>
      <w:bookmarkStart w:id="58" w:name="_Hlk112185499"/>
      <w:r>
        <w:rPr>
          <w:rFonts w:eastAsia="黑体" w:hint="eastAsia"/>
          <w:b/>
          <w:bCs/>
          <w:kern w:val="0"/>
          <w:sz w:val="24"/>
        </w:rPr>
        <w:t>（二）</w:t>
      </w:r>
      <w:bookmarkStart w:id="59" w:name="_Hlk112185254"/>
      <w:r>
        <w:rPr>
          <w:rFonts w:eastAsia="黑体" w:hint="eastAsia"/>
          <w:b/>
          <w:bCs/>
          <w:kern w:val="0"/>
          <w:sz w:val="24"/>
        </w:rPr>
        <w:t>认购款交付、股票交付的时间和方式</w:t>
      </w:r>
      <w:bookmarkEnd w:id="59"/>
    </w:p>
    <w:p w14:paraId="2421443C" w14:textId="77777777" w:rsidR="00D26039" w:rsidRDefault="00B30650">
      <w:pPr>
        <w:spacing w:beforeLines="50" w:before="156" w:afterLines="50" w:after="156" w:line="360" w:lineRule="auto"/>
        <w:ind w:firstLineChars="200" w:firstLine="480"/>
        <w:rPr>
          <w:sz w:val="24"/>
        </w:rPr>
      </w:pPr>
      <w:r>
        <w:rPr>
          <w:rFonts w:hint="eastAsia"/>
          <w:sz w:val="24"/>
        </w:rPr>
        <w:t>1</w:t>
      </w:r>
      <w:r>
        <w:rPr>
          <w:rFonts w:hint="eastAsia"/>
          <w:sz w:val="24"/>
        </w:rPr>
        <w:t>、</w:t>
      </w:r>
      <w:r>
        <w:rPr>
          <w:sz w:val="24"/>
        </w:rPr>
        <w:t>乙方同意在本次发行获得中国证监会核准后，按照本协议的约定认购甲方本次发行的股票，并按照保荐机构（主承销商）发出的本次发行之缴款通知书的要求将全部认购款按时足额缴付至本次发行股票的主承销商指定的银行账户。</w:t>
      </w:r>
    </w:p>
    <w:p w14:paraId="2B437263" w14:textId="77777777" w:rsidR="00D26039" w:rsidRDefault="00B30650">
      <w:pPr>
        <w:spacing w:beforeLines="50" w:before="156" w:afterLines="50" w:after="156" w:line="360" w:lineRule="auto"/>
        <w:ind w:firstLineChars="200" w:firstLine="480"/>
        <w:rPr>
          <w:sz w:val="24"/>
        </w:rPr>
      </w:pPr>
      <w:r>
        <w:rPr>
          <w:sz w:val="24"/>
        </w:rPr>
        <w:t>2</w:t>
      </w:r>
      <w:r>
        <w:rPr>
          <w:rFonts w:hint="eastAsia"/>
          <w:sz w:val="24"/>
        </w:rPr>
        <w:t>、</w:t>
      </w:r>
      <w:r>
        <w:rPr>
          <w:sz w:val="24"/>
        </w:rPr>
        <w:t>在</w:t>
      </w:r>
      <w:r>
        <w:rPr>
          <w:rFonts w:hint="eastAsia"/>
          <w:sz w:val="24"/>
        </w:rPr>
        <w:t>乙方</w:t>
      </w:r>
      <w:r>
        <w:rPr>
          <w:sz w:val="24"/>
        </w:rPr>
        <w:t>按前述条款支付认购款后，甲方按规定将乙方认购的股票在证券登记结算机构办理股票登记手续，以使</w:t>
      </w:r>
      <w:r>
        <w:rPr>
          <w:rFonts w:hint="eastAsia"/>
          <w:sz w:val="24"/>
        </w:rPr>
        <w:t>乙方</w:t>
      </w:r>
      <w:r>
        <w:rPr>
          <w:sz w:val="24"/>
        </w:rPr>
        <w:t>成为其认购股份的合法持有人。</w:t>
      </w:r>
    </w:p>
    <w:p w14:paraId="55880978"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（三）</w:t>
      </w:r>
      <w:r>
        <w:rPr>
          <w:rFonts w:eastAsia="黑体"/>
          <w:b/>
          <w:bCs/>
          <w:kern w:val="0"/>
          <w:sz w:val="24"/>
        </w:rPr>
        <w:t>限售期</w:t>
      </w:r>
    </w:p>
    <w:p w14:paraId="5EE021B3" w14:textId="77777777" w:rsidR="00D26039" w:rsidRDefault="00B30650">
      <w:pPr>
        <w:spacing w:beforeLines="50" w:before="156" w:afterLines="50" w:after="156" w:line="360" w:lineRule="auto"/>
        <w:ind w:firstLineChars="200" w:firstLine="480"/>
        <w:rPr>
          <w:sz w:val="24"/>
        </w:rPr>
      </w:pPr>
      <w:r>
        <w:rPr>
          <w:sz w:val="24"/>
        </w:rPr>
        <w:t>1</w:t>
      </w:r>
      <w:r>
        <w:rPr>
          <w:sz w:val="24"/>
        </w:rPr>
        <w:t>、乙方所认购的本次发行的股票自本次发行结束之日起</w:t>
      </w:r>
      <w:r>
        <w:rPr>
          <w:sz w:val="24"/>
        </w:rPr>
        <w:t>18</w:t>
      </w:r>
      <w:r>
        <w:rPr>
          <w:sz w:val="24"/>
        </w:rPr>
        <w:t>个月内不得转让。若前述限售期与监管机构的最新监管意见或监管要求不相符，乙方同意根据监管机构的监管意见或监管要求对限售期进行相应调整。</w:t>
      </w:r>
    </w:p>
    <w:p w14:paraId="5779B973" w14:textId="77777777" w:rsidR="00D26039" w:rsidRDefault="00B30650">
      <w:pPr>
        <w:spacing w:beforeLines="50" w:before="156" w:afterLines="50" w:after="156" w:line="360" w:lineRule="auto"/>
        <w:ind w:firstLineChars="200" w:firstLine="480"/>
        <w:rPr>
          <w:sz w:val="24"/>
        </w:rPr>
      </w:pPr>
      <w:r>
        <w:rPr>
          <w:sz w:val="24"/>
        </w:rPr>
        <w:lastRenderedPageBreak/>
        <w:t>2</w:t>
      </w:r>
      <w:r>
        <w:rPr>
          <w:sz w:val="24"/>
        </w:rPr>
        <w:t>、本次发行结束后，乙方基于本次发行所取得的甲方股票因甲方分配股票股利、资本公积转增等情形所衍生取得的股票亦应遵守上述限售期安排。</w:t>
      </w:r>
    </w:p>
    <w:p w14:paraId="73CC606B" w14:textId="77777777" w:rsidR="00D26039" w:rsidRDefault="00B30650">
      <w:pPr>
        <w:spacing w:beforeLines="50" w:before="156" w:afterLines="50" w:after="156" w:line="360" w:lineRule="auto"/>
        <w:ind w:firstLineChars="200" w:firstLine="480"/>
        <w:rPr>
          <w:sz w:val="24"/>
        </w:rPr>
      </w:pPr>
      <w:r>
        <w:rPr>
          <w:sz w:val="24"/>
        </w:rPr>
        <w:t>3</w:t>
      </w:r>
      <w:r>
        <w:rPr>
          <w:sz w:val="24"/>
        </w:rPr>
        <w:t>、乙方同意按照相关法律法规和中国证监会、上海证券交易所的相关规定就本次发行中所认购的股份出具相关锁定承诺，并办理相关股票锁定事宜。</w:t>
      </w:r>
    </w:p>
    <w:p w14:paraId="029BDB71" w14:textId="77777777" w:rsidR="00D26039" w:rsidRDefault="00B30650">
      <w:pPr>
        <w:spacing w:beforeLines="50" w:before="156" w:afterLines="50" w:after="156" w:line="360" w:lineRule="auto"/>
        <w:ind w:firstLineChars="200" w:firstLine="480"/>
        <w:rPr>
          <w:sz w:val="24"/>
        </w:rPr>
      </w:pPr>
      <w:r>
        <w:rPr>
          <w:sz w:val="24"/>
        </w:rPr>
        <w:t>4</w:t>
      </w:r>
      <w:r>
        <w:rPr>
          <w:sz w:val="24"/>
        </w:rPr>
        <w:t>、限售期结束后乙方认购的本次</w:t>
      </w:r>
      <w:r>
        <w:rPr>
          <w:rFonts w:hint="eastAsia"/>
          <w:sz w:val="24"/>
        </w:rPr>
        <w:t>非公开</w:t>
      </w:r>
      <w:r>
        <w:rPr>
          <w:sz w:val="24"/>
        </w:rPr>
        <w:t>发行的股票按中国证监会及上海证券交易所的有关规定执行。</w:t>
      </w:r>
    </w:p>
    <w:p w14:paraId="303E2730" w14:textId="77777777" w:rsidR="00D26039" w:rsidRDefault="00B30650">
      <w:pPr>
        <w:pStyle w:val="2"/>
        <w:autoSpaceDE w:val="0"/>
        <w:spacing w:beforeLines="50" w:before="156" w:afterLines="50" w:after="156" w:line="360" w:lineRule="auto"/>
        <w:rPr>
          <w:rFonts w:ascii="Times New Roman" w:hAnsi="Times New Roman"/>
          <w:szCs w:val="28"/>
        </w:rPr>
      </w:pPr>
      <w:bookmarkStart w:id="60" w:name="_Toc111905415"/>
      <w:r>
        <w:rPr>
          <w:rFonts w:ascii="Times New Roman" w:hAnsi="Times New Roman" w:hint="eastAsia"/>
          <w:szCs w:val="28"/>
        </w:rPr>
        <w:t>三、合同的生效条件和生效时间</w:t>
      </w:r>
      <w:bookmarkEnd w:id="60"/>
    </w:p>
    <w:p w14:paraId="5B722B90" w14:textId="77777777" w:rsidR="00D26039" w:rsidRDefault="00B30650">
      <w:pPr>
        <w:spacing w:beforeLines="50" w:before="156" w:afterLines="50" w:after="156" w:line="360" w:lineRule="auto"/>
        <w:ind w:firstLineChars="200" w:firstLine="480"/>
        <w:rPr>
          <w:sz w:val="24"/>
        </w:rPr>
      </w:pPr>
      <w:r>
        <w:rPr>
          <w:sz w:val="24"/>
        </w:rPr>
        <w:t>本协议自双方签字并盖章之日起成立，当且仅当下列条件全部满足后生效：</w:t>
      </w:r>
    </w:p>
    <w:p w14:paraId="45FE1CF6" w14:textId="77777777" w:rsidR="00D26039" w:rsidRDefault="00B30650">
      <w:pPr>
        <w:spacing w:beforeLines="50" w:before="156" w:afterLines="50" w:after="156" w:line="360" w:lineRule="auto"/>
        <w:ind w:firstLineChars="200" w:firstLine="480"/>
        <w:rPr>
          <w:sz w:val="24"/>
        </w:rPr>
      </w:pPr>
      <w:r>
        <w:rPr>
          <w:sz w:val="24"/>
        </w:rPr>
        <w:t>1</w:t>
      </w:r>
      <w:r>
        <w:rPr>
          <w:sz w:val="24"/>
        </w:rPr>
        <w:t>、甲方董事会和股东大会审议通过本次发行；</w:t>
      </w:r>
    </w:p>
    <w:p w14:paraId="40A9E78D" w14:textId="77777777" w:rsidR="00D26039" w:rsidRDefault="00B30650">
      <w:pPr>
        <w:spacing w:beforeLines="50" w:before="156" w:afterLines="50" w:after="156" w:line="360" w:lineRule="auto"/>
        <w:ind w:firstLineChars="200" w:firstLine="480"/>
        <w:rPr>
          <w:sz w:val="24"/>
        </w:rPr>
      </w:pPr>
      <w:r>
        <w:rPr>
          <w:sz w:val="24"/>
        </w:rPr>
        <w:t>2</w:t>
      </w:r>
      <w:r>
        <w:rPr>
          <w:sz w:val="24"/>
        </w:rPr>
        <w:t>、本次发行取得有权国资审批单位批准；</w:t>
      </w:r>
    </w:p>
    <w:p w14:paraId="5124F26D" w14:textId="77777777" w:rsidR="00D26039" w:rsidRDefault="00B30650">
      <w:pPr>
        <w:spacing w:beforeLines="50" w:before="156" w:afterLines="50" w:after="156" w:line="360" w:lineRule="auto"/>
        <w:ind w:firstLineChars="200" w:firstLine="480"/>
        <w:rPr>
          <w:sz w:val="24"/>
        </w:rPr>
      </w:pPr>
      <w:r>
        <w:rPr>
          <w:sz w:val="24"/>
        </w:rPr>
        <w:t>3</w:t>
      </w:r>
      <w:r>
        <w:rPr>
          <w:sz w:val="24"/>
        </w:rPr>
        <w:t>、中国证监会核准本次发行。</w:t>
      </w:r>
    </w:p>
    <w:p w14:paraId="11751026" w14:textId="77777777" w:rsidR="00D26039" w:rsidRDefault="00B30650">
      <w:pPr>
        <w:pStyle w:val="2"/>
        <w:autoSpaceDE w:val="0"/>
        <w:spacing w:beforeLines="50" w:before="156" w:afterLines="50" w:after="156" w:line="360" w:lineRule="auto"/>
        <w:rPr>
          <w:rFonts w:ascii="Times New Roman" w:hAnsi="Times New Roman"/>
          <w:szCs w:val="28"/>
        </w:rPr>
      </w:pPr>
      <w:bookmarkStart w:id="61" w:name="_Toc111905416"/>
      <w:bookmarkEnd w:id="49"/>
      <w:r>
        <w:rPr>
          <w:rFonts w:ascii="Times New Roman" w:hAnsi="Times New Roman" w:hint="eastAsia"/>
          <w:szCs w:val="28"/>
        </w:rPr>
        <w:t>四、违约责任条款</w:t>
      </w:r>
      <w:bookmarkStart w:id="62" w:name="_Hlk69410998"/>
      <w:bookmarkEnd w:id="61"/>
    </w:p>
    <w:p w14:paraId="52F93F65" w14:textId="77777777" w:rsidR="00D26039" w:rsidRDefault="00B30650">
      <w:pPr>
        <w:spacing w:beforeLines="50" w:before="156" w:afterLines="50" w:after="156" w:line="360" w:lineRule="auto"/>
        <w:ind w:firstLineChars="200" w:firstLine="480"/>
        <w:rPr>
          <w:rFonts w:ascii="宋体" w:hAnsi="宋体"/>
        </w:rPr>
      </w:pPr>
      <w:r>
        <w:rPr>
          <w:rFonts w:ascii="宋体" w:hAnsi="宋体" w:cs="宋体"/>
          <w:kern w:val="0"/>
          <w:sz w:val="24"/>
        </w:rPr>
        <w:t>如果一方违约而致使本协议不能履行或不能完全履行时，则由此导致的损失由违约方承担；守约方有权要求违约方继续履行义务，并及时采取补救措施以保证认购协议的继续履行，同时违约方应当赔偿守约方前述所发生的损失。</w:t>
      </w:r>
      <w:bookmarkEnd w:id="62"/>
    </w:p>
    <w:bookmarkEnd w:id="58"/>
    <w:p w14:paraId="3F01EB5F" w14:textId="77777777" w:rsidR="00D26039" w:rsidRDefault="00D26039">
      <w:pPr>
        <w:pStyle w:val="1"/>
        <w:autoSpaceDE w:val="0"/>
        <w:sectPr w:rsidR="00D26039">
          <w:pgSz w:w="11906" w:h="16838"/>
          <w:pgMar w:top="1440" w:right="1800" w:bottom="1440" w:left="1800" w:header="851" w:footer="992" w:gutter="0"/>
          <w:cols w:space="425"/>
          <w:docGrid w:type="lines" w:linePitch="312"/>
        </w:sectPr>
      </w:pPr>
    </w:p>
    <w:p w14:paraId="47AF61A5" w14:textId="77777777" w:rsidR="00D26039" w:rsidRDefault="00B30650">
      <w:pPr>
        <w:pStyle w:val="1"/>
        <w:autoSpaceDE w:val="0"/>
        <w:spacing w:beforeLines="50" w:before="156" w:afterLines="50" w:after="156" w:line="360" w:lineRule="auto"/>
      </w:pPr>
      <w:bookmarkStart w:id="63" w:name="_Toc111905417"/>
      <w:r>
        <w:lastRenderedPageBreak/>
        <w:t>第</w:t>
      </w:r>
      <w:r>
        <w:rPr>
          <w:rFonts w:hint="eastAsia"/>
        </w:rPr>
        <w:t>四</w:t>
      </w:r>
      <w:r>
        <w:t>节</w:t>
      </w:r>
      <w:r>
        <w:t xml:space="preserve">  </w:t>
      </w:r>
      <w:r>
        <w:t>董事会关于本次募集资金使用的可行性分析</w:t>
      </w:r>
      <w:bookmarkEnd w:id="63"/>
    </w:p>
    <w:p w14:paraId="2E41D162" w14:textId="77777777" w:rsidR="00D26039" w:rsidRDefault="00B30650">
      <w:pPr>
        <w:pStyle w:val="2"/>
        <w:autoSpaceDE w:val="0"/>
        <w:spacing w:beforeLines="50" w:before="156" w:afterLines="50" w:after="156" w:line="360" w:lineRule="auto"/>
        <w:rPr>
          <w:rFonts w:ascii="Times New Roman" w:hAnsi="Times New Roman"/>
          <w:szCs w:val="28"/>
        </w:rPr>
      </w:pPr>
      <w:bookmarkStart w:id="64" w:name="_Toc111905418"/>
      <w:bookmarkStart w:id="65" w:name="_Toc512526900"/>
      <w:r>
        <w:rPr>
          <w:rFonts w:ascii="Times New Roman" w:hAnsi="Times New Roman"/>
          <w:szCs w:val="28"/>
        </w:rPr>
        <w:t>一、本次</w:t>
      </w:r>
      <w:r>
        <w:rPr>
          <w:rFonts w:ascii="Times New Roman" w:hAnsi="Times New Roman" w:hint="eastAsia"/>
          <w:szCs w:val="28"/>
        </w:rPr>
        <w:t>非公开发行</w:t>
      </w:r>
      <w:r>
        <w:rPr>
          <w:rFonts w:ascii="Times New Roman" w:hAnsi="Times New Roman"/>
          <w:szCs w:val="28"/>
        </w:rPr>
        <w:t>募集资金使用计划</w:t>
      </w:r>
      <w:bookmarkEnd w:id="64"/>
      <w:bookmarkEnd w:id="65"/>
    </w:p>
    <w:p w14:paraId="2E0A594B" w14:textId="219FF8FF"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bookmarkStart w:id="66" w:name="_Toc512526901"/>
      <w:bookmarkStart w:id="67" w:name="_Toc275608374"/>
      <w:r>
        <w:rPr>
          <w:rFonts w:asciiTheme="minorEastAsia" w:eastAsiaTheme="minorEastAsia" w:hAnsiTheme="minorEastAsia"/>
          <w:kern w:val="0"/>
          <w:sz w:val="24"/>
        </w:rPr>
        <w:t>本次非公开发行募集资金总额</w:t>
      </w:r>
      <w:r>
        <w:rPr>
          <w:rFonts w:ascii="宋体" w:hAnsi="宋体" w:hint="eastAsia"/>
          <w:kern w:val="0"/>
          <w:sz w:val="24"/>
        </w:rPr>
        <w:t>不超过</w:t>
      </w:r>
      <w:r>
        <w:rPr>
          <w:kern w:val="0"/>
          <w:sz w:val="24"/>
        </w:rPr>
        <w:t>4</w:t>
      </w:r>
      <w:r>
        <w:rPr>
          <w:rFonts w:hint="eastAsia"/>
          <w:kern w:val="0"/>
          <w:sz w:val="24"/>
        </w:rPr>
        <w:t>0</w:t>
      </w:r>
      <w:r>
        <w:rPr>
          <w:rFonts w:ascii="宋体" w:hAnsi="宋体" w:hint="eastAsia"/>
          <w:kern w:val="0"/>
          <w:sz w:val="24"/>
        </w:rPr>
        <w:t>,</w:t>
      </w:r>
      <w:r>
        <w:rPr>
          <w:kern w:val="0"/>
          <w:sz w:val="24"/>
        </w:rPr>
        <w:t>000</w:t>
      </w:r>
      <w:r w:rsidR="00142CD6">
        <w:rPr>
          <w:kern w:val="0"/>
          <w:sz w:val="24"/>
        </w:rPr>
        <w:t>.00</w:t>
      </w:r>
      <w:r>
        <w:rPr>
          <w:rFonts w:ascii="宋体" w:hAnsi="宋体" w:hint="eastAsia"/>
          <w:kern w:val="0"/>
          <w:sz w:val="24"/>
        </w:rPr>
        <w:t>万元</w:t>
      </w:r>
      <w:r>
        <w:rPr>
          <w:rFonts w:ascii="宋体" w:hAnsi="宋体" w:hint="eastAsia"/>
          <w:sz w:val="24"/>
        </w:rPr>
        <w:t>（含本数）</w:t>
      </w:r>
      <w:r>
        <w:rPr>
          <w:rFonts w:asciiTheme="minorEastAsia" w:eastAsiaTheme="minorEastAsia" w:hAnsiTheme="minorEastAsia"/>
          <w:kern w:val="0"/>
          <w:sz w:val="24"/>
        </w:rPr>
        <w:t>，</w:t>
      </w:r>
      <w:r>
        <w:rPr>
          <w:rFonts w:asciiTheme="minorEastAsia" w:eastAsiaTheme="minorEastAsia" w:hAnsiTheme="minorEastAsia" w:hint="eastAsia"/>
          <w:kern w:val="0"/>
          <w:sz w:val="24"/>
        </w:rPr>
        <w:t>扣除相关发行费用后的募集资金净额将全部投资于以下项目：</w:t>
      </w:r>
    </w:p>
    <w:p w14:paraId="5E107107" w14:textId="77777777" w:rsidR="00D26039" w:rsidRDefault="00B30650">
      <w:pPr>
        <w:ind w:firstLineChars="200" w:firstLine="420"/>
        <w:jc w:val="right"/>
        <w:rPr>
          <w:rFonts w:ascii="宋体" w:hAnsi="宋体"/>
          <w:color w:val="000000"/>
          <w:szCs w:val="21"/>
        </w:rPr>
      </w:pPr>
      <w:r>
        <w:rPr>
          <w:rFonts w:ascii="宋体" w:hAnsi="宋体" w:hint="eastAsia"/>
          <w:color w:val="000000"/>
          <w:szCs w:val="21"/>
        </w:rPr>
        <w:t>单位：万元</w:t>
      </w:r>
    </w:p>
    <w:tbl>
      <w:tblPr>
        <w:tblW w:w="575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05"/>
        <w:gridCol w:w="2191"/>
        <w:gridCol w:w="1378"/>
        <w:gridCol w:w="1190"/>
        <w:gridCol w:w="2596"/>
        <w:gridCol w:w="1840"/>
      </w:tblGrid>
      <w:tr w:rsidR="00D26039" w14:paraId="7BF4D406" w14:textId="77777777">
        <w:trPr>
          <w:trHeight w:val="397"/>
          <w:jc w:val="center"/>
        </w:trPr>
        <w:tc>
          <w:tcPr>
            <w:tcW w:w="309" w:type="pct"/>
            <w:shd w:val="clear" w:color="auto" w:fill="auto"/>
            <w:vAlign w:val="center"/>
          </w:tcPr>
          <w:p w14:paraId="37CD1121" w14:textId="77777777" w:rsidR="00D26039" w:rsidRDefault="00B30650">
            <w:pPr>
              <w:widowControl/>
              <w:jc w:val="center"/>
              <w:rPr>
                <w:rFonts w:ascii="宋体" w:hAnsi="宋体" w:cs="Calibri"/>
                <w:b/>
                <w:bCs/>
                <w:kern w:val="0"/>
                <w:szCs w:val="21"/>
              </w:rPr>
            </w:pPr>
            <w:r>
              <w:rPr>
                <w:rFonts w:ascii="宋体" w:hAnsi="宋体" w:cs="Calibri" w:hint="eastAsia"/>
                <w:b/>
                <w:bCs/>
                <w:kern w:val="0"/>
                <w:szCs w:val="21"/>
              </w:rPr>
              <w:t>序号</w:t>
            </w:r>
          </w:p>
        </w:tc>
        <w:tc>
          <w:tcPr>
            <w:tcW w:w="1118" w:type="pct"/>
            <w:shd w:val="clear" w:color="auto" w:fill="auto"/>
            <w:vAlign w:val="center"/>
          </w:tcPr>
          <w:p w14:paraId="5116F4EE" w14:textId="77777777" w:rsidR="00D26039" w:rsidRDefault="00B30650">
            <w:pPr>
              <w:widowControl/>
              <w:jc w:val="center"/>
              <w:rPr>
                <w:b/>
                <w:bCs/>
                <w:kern w:val="0"/>
                <w:szCs w:val="21"/>
              </w:rPr>
            </w:pPr>
            <w:r>
              <w:rPr>
                <w:rFonts w:hint="eastAsia"/>
                <w:b/>
                <w:bCs/>
                <w:kern w:val="0"/>
                <w:szCs w:val="21"/>
              </w:rPr>
              <w:t>项目名称</w:t>
            </w:r>
          </w:p>
        </w:tc>
        <w:tc>
          <w:tcPr>
            <w:tcW w:w="703" w:type="pct"/>
            <w:shd w:val="clear" w:color="auto" w:fill="auto"/>
            <w:vAlign w:val="center"/>
          </w:tcPr>
          <w:p w14:paraId="78BF3569" w14:textId="77777777" w:rsidR="00D26039" w:rsidRDefault="00B30650">
            <w:pPr>
              <w:widowControl/>
              <w:jc w:val="center"/>
              <w:rPr>
                <w:b/>
                <w:bCs/>
                <w:kern w:val="0"/>
                <w:szCs w:val="21"/>
              </w:rPr>
            </w:pPr>
            <w:r>
              <w:rPr>
                <w:rFonts w:hint="eastAsia"/>
                <w:b/>
                <w:bCs/>
                <w:kern w:val="0"/>
                <w:szCs w:val="21"/>
              </w:rPr>
              <w:t>项目总投资</w:t>
            </w:r>
          </w:p>
        </w:tc>
        <w:tc>
          <w:tcPr>
            <w:tcW w:w="607" w:type="pct"/>
            <w:shd w:val="clear" w:color="auto" w:fill="auto"/>
            <w:vAlign w:val="center"/>
          </w:tcPr>
          <w:p w14:paraId="5A70ED03" w14:textId="77777777" w:rsidR="00D26039" w:rsidRDefault="00B30650">
            <w:pPr>
              <w:widowControl/>
              <w:jc w:val="center"/>
              <w:rPr>
                <w:b/>
                <w:bCs/>
                <w:kern w:val="0"/>
                <w:szCs w:val="21"/>
              </w:rPr>
            </w:pPr>
            <w:r>
              <w:rPr>
                <w:rFonts w:hint="eastAsia"/>
                <w:b/>
                <w:bCs/>
                <w:szCs w:val="21"/>
              </w:rPr>
              <w:t>拟投入募集资金</w:t>
            </w:r>
          </w:p>
        </w:tc>
        <w:tc>
          <w:tcPr>
            <w:tcW w:w="1324" w:type="pct"/>
            <w:vAlign w:val="center"/>
          </w:tcPr>
          <w:p w14:paraId="39416D46" w14:textId="77777777" w:rsidR="00D26039" w:rsidRDefault="00B30650">
            <w:pPr>
              <w:widowControl/>
              <w:jc w:val="center"/>
              <w:rPr>
                <w:b/>
                <w:bCs/>
                <w:szCs w:val="21"/>
              </w:rPr>
            </w:pPr>
            <w:r>
              <w:rPr>
                <w:b/>
                <w:bCs/>
              </w:rPr>
              <w:t>项目备案文号</w:t>
            </w:r>
          </w:p>
        </w:tc>
        <w:tc>
          <w:tcPr>
            <w:tcW w:w="939" w:type="pct"/>
            <w:vAlign w:val="center"/>
          </w:tcPr>
          <w:p w14:paraId="1E09E076" w14:textId="77777777" w:rsidR="00D26039" w:rsidRDefault="00B30650">
            <w:pPr>
              <w:widowControl/>
              <w:jc w:val="center"/>
              <w:rPr>
                <w:b/>
                <w:bCs/>
                <w:szCs w:val="21"/>
              </w:rPr>
            </w:pPr>
            <w:r>
              <w:rPr>
                <w:b/>
                <w:bCs/>
              </w:rPr>
              <w:t>环评批复文号</w:t>
            </w:r>
          </w:p>
        </w:tc>
      </w:tr>
      <w:tr w:rsidR="00D26039" w14:paraId="1AE0ED89" w14:textId="77777777">
        <w:trPr>
          <w:trHeight w:val="397"/>
          <w:jc w:val="center"/>
        </w:trPr>
        <w:tc>
          <w:tcPr>
            <w:tcW w:w="309" w:type="pct"/>
            <w:shd w:val="clear" w:color="auto" w:fill="auto"/>
            <w:vAlign w:val="center"/>
          </w:tcPr>
          <w:p w14:paraId="7A76DD1E" w14:textId="77777777" w:rsidR="00D26039" w:rsidRDefault="00B30650">
            <w:pPr>
              <w:autoSpaceDE w:val="0"/>
              <w:autoSpaceDN w:val="0"/>
              <w:adjustRightInd w:val="0"/>
              <w:jc w:val="center"/>
              <w:rPr>
                <w:rFonts w:ascii="宋体" w:hAnsi="宋体" w:cs="Calibri"/>
                <w:kern w:val="0"/>
                <w:szCs w:val="21"/>
              </w:rPr>
            </w:pPr>
            <w:r>
              <w:rPr>
                <w:rFonts w:cs="瀹嬩綋" w:hint="eastAsia"/>
                <w:kern w:val="0"/>
                <w:szCs w:val="21"/>
              </w:rPr>
              <w:t>1</w:t>
            </w:r>
          </w:p>
        </w:tc>
        <w:tc>
          <w:tcPr>
            <w:tcW w:w="1118" w:type="pct"/>
            <w:shd w:val="clear" w:color="auto" w:fill="auto"/>
            <w:vAlign w:val="center"/>
          </w:tcPr>
          <w:p w14:paraId="3D0DBA50" w14:textId="77777777" w:rsidR="00D26039" w:rsidRDefault="00B30650">
            <w:pPr>
              <w:widowControl/>
              <w:jc w:val="center"/>
              <w:rPr>
                <w:kern w:val="0"/>
                <w:szCs w:val="21"/>
              </w:rPr>
            </w:pPr>
            <w:r>
              <w:rPr>
                <w:rFonts w:hint="eastAsia"/>
                <w:bCs/>
                <w:szCs w:val="21"/>
              </w:rPr>
              <w:t>铜峰电子</w:t>
            </w:r>
            <w:r>
              <w:rPr>
                <w:rFonts w:hint="eastAsia"/>
                <w:kern w:val="0"/>
                <w:szCs w:val="21"/>
              </w:rPr>
              <w:t>新能源用超薄型薄膜材料项目</w:t>
            </w:r>
          </w:p>
        </w:tc>
        <w:tc>
          <w:tcPr>
            <w:tcW w:w="703" w:type="pct"/>
            <w:shd w:val="clear" w:color="auto" w:fill="auto"/>
            <w:vAlign w:val="center"/>
          </w:tcPr>
          <w:p w14:paraId="52B176FD" w14:textId="77777777" w:rsidR="00D26039" w:rsidRDefault="00B30650">
            <w:pPr>
              <w:widowControl/>
              <w:jc w:val="right"/>
              <w:rPr>
                <w:kern w:val="0"/>
                <w:szCs w:val="21"/>
              </w:rPr>
            </w:pPr>
            <w:r>
              <w:rPr>
                <w:color w:val="000000"/>
                <w:szCs w:val="21"/>
              </w:rPr>
              <w:t>34,550.00</w:t>
            </w:r>
          </w:p>
        </w:tc>
        <w:tc>
          <w:tcPr>
            <w:tcW w:w="607" w:type="pct"/>
            <w:shd w:val="clear" w:color="auto" w:fill="auto"/>
            <w:vAlign w:val="center"/>
          </w:tcPr>
          <w:p w14:paraId="7D2E9F46" w14:textId="77777777" w:rsidR="00D26039" w:rsidRDefault="00B30650">
            <w:pPr>
              <w:widowControl/>
              <w:jc w:val="right"/>
              <w:rPr>
                <w:kern w:val="0"/>
                <w:szCs w:val="21"/>
              </w:rPr>
            </w:pPr>
            <w:r>
              <w:rPr>
                <w:kern w:val="0"/>
                <w:szCs w:val="21"/>
              </w:rPr>
              <w:t>28,000</w:t>
            </w:r>
            <w:r>
              <w:rPr>
                <w:color w:val="000000"/>
                <w:szCs w:val="21"/>
              </w:rPr>
              <w:t>.00</w:t>
            </w:r>
          </w:p>
        </w:tc>
        <w:tc>
          <w:tcPr>
            <w:tcW w:w="1324" w:type="pct"/>
            <w:vAlign w:val="center"/>
          </w:tcPr>
          <w:p w14:paraId="00A138B2" w14:textId="77777777" w:rsidR="00D26039" w:rsidRDefault="00B30650">
            <w:pPr>
              <w:widowControl/>
              <w:jc w:val="center"/>
              <w:rPr>
                <w:kern w:val="0"/>
                <w:szCs w:val="21"/>
              </w:rPr>
            </w:pPr>
            <w:r>
              <w:rPr>
                <w:kern w:val="0"/>
                <w:szCs w:val="21"/>
              </w:rPr>
              <w:t>2107-340760-04-02-793012</w:t>
            </w:r>
          </w:p>
        </w:tc>
        <w:tc>
          <w:tcPr>
            <w:tcW w:w="939" w:type="pct"/>
            <w:vAlign w:val="center"/>
          </w:tcPr>
          <w:p w14:paraId="4408A64F" w14:textId="77777777" w:rsidR="00D26039" w:rsidRPr="005D006A" w:rsidRDefault="00B30650">
            <w:pPr>
              <w:widowControl/>
              <w:jc w:val="center"/>
              <w:rPr>
                <w:rFonts w:ascii="宋体" w:hAnsi="宋体"/>
                <w:kern w:val="0"/>
                <w:szCs w:val="21"/>
              </w:rPr>
            </w:pPr>
            <w:r w:rsidRPr="005D006A">
              <w:rPr>
                <w:rFonts w:ascii="宋体" w:hAnsi="宋体" w:hint="eastAsia"/>
                <w:kern w:val="0"/>
                <w:szCs w:val="21"/>
              </w:rPr>
              <w:t>安环</w:t>
            </w:r>
            <w:r w:rsidRPr="005D006A">
              <w:rPr>
                <w:rFonts w:ascii="宋体" w:hAnsi="宋体"/>
                <w:kern w:val="0"/>
                <w:szCs w:val="21"/>
              </w:rPr>
              <w:t>[2022]7</w:t>
            </w:r>
            <w:r w:rsidRPr="005D006A">
              <w:rPr>
                <w:rFonts w:ascii="宋体" w:hAnsi="宋体" w:hint="eastAsia"/>
                <w:kern w:val="0"/>
                <w:szCs w:val="21"/>
              </w:rPr>
              <w:t>号</w:t>
            </w:r>
          </w:p>
        </w:tc>
      </w:tr>
      <w:tr w:rsidR="00D26039" w14:paraId="5C7226D0" w14:textId="77777777">
        <w:trPr>
          <w:trHeight w:val="397"/>
          <w:jc w:val="center"/>
        </w:trPr>
        <w:tc>
          <w:tcPr>
            <w:tcW w:w="309" w:type="pct"/>
            <w:shd w:val="clear" w:color="auto" w:fill="auto"/>
            <w:vAlign w:val="center"/>
          </w:tcPr>
          <w:p w14:paraId="42054EA0" w14:textId="77777777" w:rsidR="00D26039" w:rsidRDefault="00B30650">
            <w:pPr>
              <w:widowControl/>
              <w:jc w:val="center"/>
              <w:rPr>
                <w:rFonts w:ascii="宋体" w:hAnsi="宋体" w:cs="Calibri"/>
                <w:kern w:val="0"/>
                <w:szCs w:val="21"/>
              </w:rPr>
            </w:pPr>
            <w:r>
              <w:rPr>
                <w:rFonts w:cs="Calibri" w:hint="eastAsia"/>
                <w:kern w:val="0"/>
                <w:szCs w:val="21"/>
              </w:rPr>
              <w:t>2</w:t>
            </w:r>
          </w:p>
        </w:tc>
        <w:tc>
          <w:tcPr>
            <w:tcW w:w="1118" w:type="pct"/>
            <w:shd w:val="clear" w:color="auto" w:fill="auto"/>
            <w:vAlign w:val="center"/>
          </w:tcPr>
          <w:p w14:paraId="60A63042" w14:textId="77777777" w:rsidR="00D26039" w:rsidRDefault="00B30650">
            <w:pPr>
              <w:widowControl/>
              <w:jc w:val="center"/>
              <w:rPr>
                <w:kern w:val="0"/>
                <w:szCs w:val="21"/>
              </w:rPr>
            </w:pPr>
            <w:r>
              <w:rPr>
                <w:rFonts w:hint="eastAsia"/>
                <w:kern w:val="0"/>
                <w:szCs w:val="21"/>
              </w:rPr>
              <w:t>补充流动资金</w:t>
            </w:r>
          </w:p>
        </w:tc>
        <w:tc>
          <w:tcPr>
            <w:tcW w:w="703" w:type="pct"/>
            <w:shd w:val="clear" w:color="auto" w:fill="auto"/>
            <w:vAlign w:val="center"/>
          </w:tcPr>
          <w:p w14:paraId="62962F8A" w14:textId="77777777" w:rsidR="00D26039" w:rsidRDefault="00B30650">
            <w:pPr>
              <w:widowControl/>
              <w:jc w:val="right"/>
              <w:rPr>
                <w:kern w:val="0"/>
                <w:szCs w:val="21"/>
              </w:rPr>
            </w:pPr>
            <w:r>
              <w:rPr>
                <w:rFonts w:hint="eastAsia"/>
                <w:kern w:val="0"/>
                <w:szCs w:val="21"/>
              </w:rPr>
              <w:t>1</w:t>
            </w:r>
            <w:r>
              <w:rPr>
                <w:kern w:val="0"/>
                <w:szCs w:val="21"/>
              </w:rPr>
              <w:t>2,000.00</w:t>
            </w:r>
          </w:p>
        </w:tc>
        <w:tc>
          <w:tcPr>
            <w:tcW w:w="607" w:type="pct"/>
            <w:shd w:val="clear" w:color="auto" w:fill="auto"/>
            <w:vAlign w:val="center"/>
          </w:tcPr>
          <w:p w14:paraId="36AA99A0" w14:textId="77777777" w:rsidR="00D26039" w:rsidRDefault="00B30650">
            <w:pPr>
              <w:widowControl/>
              <w:jc w:val="right"/>
              <w:rPr>
                <w:kern w:val="0"/>
                <w:szCs w:val="21"/>
              </w:rPr>
            </w:pPr>
            <w:r>
              <w:rPr>
                <w:rFonts w:hint="eastAsia"/>
                <w:kern w:val="0"/>
                <w:szCs w:val="21"/>
              </w:rPr>
              <w:t>1</w:t>
            </w:r>
            <w:r>
              <w:rPr>
                <w:kern w:val="0"/>
                <w:szCs w:val="21"/>
              </w:rPr>
              <w:t>2,000.00</w:t>
            </w:r>
          </w:p>
        </w:tc>
        <w:tc>
          <w:tcPr>
            <w:tcW w:w="1324" w:type="pct"/>
            <w:vAlign w:val="center"/>
          </w:tcPr>
          <w:p w14:paraId="49D45675" w14:textId="77777777" w:rsidR="00D26039" w:rsidRDefault="00B30650">
            <w:pPr>
              <w:widowControl/>
              <w:jc w:val="center"/>
              <w:rPr>
                <w:kern w:val="0"/>
                <w:szCs w:val="21"/>
              </w:rPr>
            </w:pPr>
            <w:r>
              <w:rPr>
                <w:rFonts w:hint="eastAsia"/>
                <w:kern w:val="0"/>
                <w:szCs w:val="21"/>
              </w:rPr>
              <w:t>不适用</w:t>
            </w:r>
          </w:p>
        </w:tc>
        <w:tc>
          <w:tcPr>
            <w:tcW w:w="939" w:type="pct"/>
            <w:vAlign w:val="center"/>
          </w:tcPr>
          <w:p w14:paraId="72059D58" w14:textId="77777777" w:rsidR="00D26039" w:rsidRDefault="00B30650">
            <w:pPr>
              <w:widowControl/>
              <w:jc w:val="center"/>
              <w:rPr>
                <w:kern w:val="0"/>
                <w:szCs w:val="21"/>
              </w:rPr>
            </w:pPr>
            <w:r>
              <w:rPr>
                <w:rFonts w:hint="eastAsia"/>
                <w:kern w:val="0"/>
                <w:szCs w:val="21"/>
              </w:rPr>
              <w:t>不适用</w:t>
            </w:r>
          </w:p>
        </w:tc>
      </w:tr>
      <w:tr w:rsidR="00D26039" w14:paraId="0B3AFD84" w14:textId="77777777">
        <w:trPr>
          <w:trHeight w:val="397"/>
          <w:jc w:val="center"/>
        </w:trPr>
        <w:tc>
          <w:tcPr>
            <w:tcW w:w="1427" w:type="pct"/>
            <w:gridSpan w:val="2"/>
            <w:shd w:val="clear" w:color="auto" w:fill="auto"/>
            <w:vAlign w:val="center"/>
          </w:tcPr>
          <w:p w14:paraId="2247DE7E" w14:textId="2800F5FE" w:rsidR="00D26039" w:rsidRDefault="00B30650">
            <w:pPr>
              <w:widowControl/>
              <w:jc w:val="center"/>
              <w:rPr>
                <w:b/>
                <w:color w:val="000000"/>
                <w:szCs w:val="21"/>
              </w:rPr>
            </w:pPr>
            <w:r>
              <w:rPr>
                <w:rFonts w:hint="eastAsia"/>
                <w:b/>
                <w:color w:val="000000"/>
                <w:szCs w:val="21"/>
              </w:rPr>
              <w:t>合</w:t>
            </w:r>
            <w:r w:rsidR="009A2571">
              <w:rPr>
                <w:rFonts w:hint="eastAsia"/>
                <w:b/>
                <w:color w:val="000000"/>
                <w:szCs w:val="21"/>
              </w:rPr>
              <w:t xml:space="preserve"> </w:t>
            </w:r>
            <w:r w:rsidR="009A2571">
              <w:rPr>
                <w:b/>
                <w:color w:val="000000"/>
                <w:szCs w:val="21"/>
              </w:rPr>
              <w:t xml:space="preserve"> </w:t>
            </w:r>
            <w:r>
              <w:rPr>
                <w:rFonts w:hint="eastAsia"/>
                <w:b/>
                <w:color w:val="000000"/>
                <w:szCs w:val="21"/>
              </w:rPr>
              <w:t>计</w:t>
            </w:r>
          </w:p>
        </w:tc>
        <w:tc>
          <w:tcPr>
            <w:tcW w:w="703" w:type="pct"/>
            <w:shd w:val="clear" w:color="auto" w:fill="auto"/>
            <w:vAlign w:val="center"/>
          </w:tcPr>
          <w:p w14:paraId="3A2F54F3" w14:textId="77777777" w:rsidR="00D26039" w:rsidRDefault="00B30650">
            <w:pPr>
              <w:widowControl/>
              <w:jc w:val="right"/>
              <w:rPr>
                <w:b/>
                <w:color w:val="000000"/>
                <w:szCs w:val="21"/>
              </w:rPr>
            </w:pPr>
            <w:r>
              <w:rPr>
                <w:b/>
                <w:color w:val="000000"/>
                <w:szCs w:val="21"/>
              </w:rPr>
              <w:t>46,550.00</w:t>
            </w:r>
          </w:p>
        </w:tc>
        <w:tc>
          <w:tcPr>
            <w:tcW w:w="607" w:type="pct"/>
            <w:shd w:val="clear" w:color="auto" w:fill="auto"/>
            <w:vAlign w:val="center"/>
          </w:tcPr>
          <w:p w14:paraId="44DACB90" w14:textId="77777777" w:rsidR="00D26039" w:rsidRDefault="00B30650">
            <w:pPr>
              <w:widowControl/>
              <w:jc w:val="right"/>
              <w:rPr>
                <w:b/>
                <w:color w:val="000000"/>
                <w:szCs w:val="21"/>
              </w:rPr>
            </w:pPr>
            <w:r>
              <w:rPr>
                <w:b/>
                <w:color w:val="000000"/>
                <w:szCs w:val="21"/>
              </w:rPr>
              <w:t>40,000.00</w:t>
            </w:r>
          </w:p>
        </w:tc>
        <w:tc>
          <w:tcPr>
            <w:tcW w:w="1324" w:type="pct"/>
            <w:vAlign w:val="center"/>
          </w:tcPr>
          <w:p w14:paraId="18C032A0" w14:textId="77777777" w:rsidR="00D26039" w:rsidRDefault="00B30650">
            <w:pPr>
              <w:widowControl/>
              <w:jc w:val="center"/>
              <w:rPr>
                <w:b/>
                <w:color w:val="000000"/>
                <w:szCs w:val="21"/>
              </w:rPr>
            </w:pPr>
            <w:r>
              <w:rPr>
                <w:rFonts w:hint="eastAsia"/>
                <w:b/>
                <w:color w:val="000000"/>
                <w:szCs w:val="21"/>
              </w:rPr>
              <w:t>-</w:t>
            </w:r>
          </w:p>
        </w:tc>
        <w:tc>
          <w:tcPr>
            <w:tcW w:w="939" w:type="pct"/>
            <w:vAlign w:val="center"/>
          </w:tcPr>
          <w:p w14:paraId="2062D967" w14:textId="77777777" w:rsidR="00D26039" w:rsidRDefault="00B30650">
            <w:pPr>
              <w:widowControl/>
              <w:jc w:val="center"/>
              <w:rPr>
                <w:b/>
                <w:color w:val="000000"/>
                <w:szCs w:val="21"/>
              </w:rPr>
            </w:pPr>
            <w:r>
              <w:rPr>
                <w:rFonts w:hint="eastAsia"/>
                <w:b/>
                <w:color w:val="000000"/>
                <w:szCs w:val="21"/>
              </w:rPr>
              <w:t>-</w:t>
            </w:r>
          </w:p>
        </w:tc>
      </w:tr>
    </w:tbl>
    <w:p w14:paraId="711C7429"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若本次发行实际募集资金净额低于拟投资项目的实际资金需求，在不改变拟投资项目的前提下，董事会可根据项目的实际需求，对上述项目的募集资金投入金额、优先顺序进行适当调整，不足部分由公司自行筹措资金解决。本次发行募集资金到位前，公司将根据项目进度的实际情况，以自有资金或其他方式筹集的资金先行投入上述项目，并在募集资金到位后按照相关法律法规予以置换。</w:t>
      </w:r>
    </w:p>
    <w:p w14:paraId="6BA14679" w14:textId="77777777" w:rsidR="00D26039" w:rsidRDefault="00B30650">
      <w:pPr>
        <w:pStyle w:val="2"/>
        <w:autoSpaceDE w:val="0"/>
        <w:spacing w:beforeLines="50" w:before="156" w:afterLines="50" w:after="156" w:line="360" w:lineRule="auto"/>
        <w:rPr>
          <w:rFonts w:ascii="Times New Roman" w:hAnsi="Times New Roman"/>
          <w:szCs w:val="28"/>
        </w:rPr>
      </w:pPr>
      <w:bookmarkStart w:id="68" w:name="_Toc111905419"/>
      <w:r>
        <w:rPr>
          <w:rFonts w:ascii="Times New Roman" w:hAnsi="Times New Roman"/>
          <w:szCs w:val="28"/>
        </w:rPr>
        <w:t>二、</w:t>
      </w:r>
      <w:r>
        <w:rPr>
          <w:rFonts w:ascii="Times New Roman" w:hAnsi="Times New Roman" w:hint="eastAsia"/>
          <w:szCs w:val="28"/>
        </w:rPr>
        <w:t>本次</w:t>
      </w:r>
      <w:r>
        <w:rPr>
          <w:rFonts w:ascii="Times New Roman" w:hAnsi="Times New Roman"/>
          <w:szCs w:val="28"/>
        </w:rPr>
        <w:t>募集资金的</w:t>
      </w:r>
      <w:r>
        <w:rPr>
          <w:rFonts w:ascii="Times New Roman" w:hAnsi="Times New Roman" w:hint="eastAsia"/>
          <w:szCs w:val="28"/>
        </w:rPr>
        <w:t>必要</w:t>
      </w:r>
      <w:r>
        <w:rPr>
          <w:rFonts w:ascii="Times New Roman" w:hAnsi="Times New Roman"/>
          <w:szCs w:val="28"/>
        </w:rPr>
        <w:t>性</w:t>
      </w:r>
      <w:bookmarkEnd w:id="66"/>
      <w:r>
        <w:rPr>
          <w:rFonts w:ascii="Times New Roman" w:hAnsi="Times New Roman" w:hint="eastAsia"/>
          <w:szCs w:val="28"/>
        </w:rPr>
        <w:t>和合理性分析</w:t>
      </w:r>
      <w:bookmarkEnd w:id="68"/>
    </w:p>
    <w:p w14:paraId="25197A48" w14:textId="700F6DF8"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（一）</w:t>
      </w:r>
      <w:r w:rsidR="00C0707D" w:rsidRPr="00C0707D">
        <w:rPr>
          <w:rFonts w:eastAsia="黑体" w:hint="eastAsia"/>
          <w:b/>
          <w:bCs/>
          <w:kern w:val="0"/>
          <w:sz w:val="24"/>
        </w:rPr>
        <w:t>铜峰电子</w:t>
      </w:r>
      <w:r>
        <w:rPr>
          <w:rFonts w:eastAsia="黑体" w:hint="eastAsia"/>
          <w:b/>
          <w:bCs/>
          <w:kern w:val="0"/>
          <w:sz w:val="24"/>
        </w:rPr>
        <w:t>新能源用超薄型薄膜材料项目</w:t>
      </w:r>
    </w:p>
    <w:p w14:paraId="5D74EC67" w14:textId="77777777" w:rsidR="00D26039" w:rsidRDefault="00B30650">
      <w:pPr>
        <w:spacing w:beforeLines="50" w:before="156" w:afterLines="50" w:after="156" w:line="360" w:lineRule="auto"/>
        <w:ind w:firstLineChars="200" w:firstLine="482"/>
        <w:rPr>
          <w:rFonts w:ascii="宋体" w:hAnsi="宋体"/>
          <w:b/>
          <w:sz w:val="24"/>
        </w:rPr>
      </w:pPr>
      <w:r>
        <w:rPr>
          <w:rFonts w:hint="eastAsia"/>
          <w:b/>
          <w:sz w:val="24"/>
        </w:rPr>
        <w:t>1</w:t>
      </w:r>
      <w:r>
        <w:rPr>
          <w:rFonts w:ascii="宋体" w:hAnsi="宋体" w:hint="eastAsia"/>
          <w:b/>
          <w:sz w:val="24"/>
        </w:rPr>
        <w:t>、项目概况</w:t>
      </w:r>
    </w:p>
    <w:tbl>
      <w:tblPr>
        <w:tblW w:w="5000"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4A0" w:firstRow="1" w:lastRow="0" w:firstColumn="1" w:lastColumn="0" w:noHBand="0" w:noVBand="1"/>
      </w:tblPr>
      <w:tblGrid>
        <w:gridCol w:w="1669"/>
        <w:gridCol w:w="6853"/>
      </w:tblGrid>
      <w:tr w:rsidR="00D26039" w14:paraId="18AA27A1" w14:textId="77777777">
        <w:trPr>
          <w:trHeight w:val="397"/>
          <w:jc w:val="center"/>
        </w:trPr>
        <w:tc>
          <w:tcPr>
            <w:tcW w:w="979" w:type="pct"/>
            <w:shd w:val="clear" w:color="auto" w:fill="auto"/>
            <w:vAlign w:val="center"/>
          </w:tcPr>
          <w:p w14:paraId="699E19DC" w14:textId="77777777" w:rsidR="00D26039" w:rsidRDefault="00B30650">
            <w:pPr>
              <w:widowControl/>
              <w:jc w:val="left"/>
              <w:rPr>
                <w:rFonts w:ascii="宋体" w:hAnsi="宋体" w:cs="Calibri"/>
                <w:kern w:val="0"/>
                <w:szCs w:val="21"/>
              </w:rPr>
            </w:pPr>
            <w:r>
              <w:rPr>
                <w:rFonts w:ascii="宋体" w:hAnsi="宋体" w:hint="eastAsia"/>
                <w:szCs w:val="21"/>
              </w:rPr>
              <w:t>项目名称</w:t>
            </w:r>
          </w:p>
        </w:tc>
        <w:tc>
          <w:tcPr>
            <w:tcW w:w="4021" w:type="pct"/>
            <w:shd w:val="clear" w:color="auto" w:fill="auto"/>
            <w:vAlign w:val="center"/>
          </w:tcPr>
          <w:p w14:paraId="71530315" w14:textId="77777777" w:rsidR="00D26039" w:rsidRDefault="00B30650">
            <w:pPr>
              <w:widowControl/>
              <w:jc w:val="left"/>
              <w:rPr>
                <w:bCs/>
                <w:kern w:val="0"/>
                <w:szCs w:val="21"/>
              </w:rPr>
            </w:pPr>
            <w:r>
              <w:rPr>
                <w:rFonts w:hint="eastAsia"/>
                <w:bCs/>
                <w:szCs w:val="21"/>
              </w:rPr>
              <w:t>铜峰电子新能源用超薄型薄膜材料项目</w:t>
            </w:r>
          </w:p>
        </w:tc>
      </w:tr>
      <w:tr w:rsidR="00D26039" w14:paraId="4B392A61" w14:textId="77777777">
        <w:trPr>
          <w:trHeight w:val="397"/>
          <w:jc w:val="center"/>
        </w:trPr>
        <w:tc>
          <w:tcPr>
            <w:tcW w:w="979" w:type="pct"/>
            <w:shd w:val="clear" w:color="auto" w:fill="auto"/>
            <w:vAlign w:val="center"/>
          </w:tcPr>
          <w:p w14:paraId="52BF0DA6" w14:textId="77777777" w:rsidR="00D26039" w:rsidRDefault="00B30650">
            <w:pPr>
              <w:autoSpaceDE w:val="0"/>
              <w:autoSpaceDN w:val="0"/>
              <w:adjustRightInd w:val="0"/>
              <w:jc w:val="left"/>
              <w:rPr>
                <w:rFonts w:ascii="宋体" w:hAnsi="宋体" w:cs="Calibri"/>
                <w:kern w:val="0"/>
                <w:szCs w:val="21"/>
              </w:rPr>
            </w:pPr>
            <w:r>
              <w:rPr>
                <w:rFonts w:ascii="宋体" w:hAnsi="宋体" w:cs="Calibri" w:hint="eastAsia"/>
                <w:kern w:val="0"/>
                <w:szCs w:val="21"/>
              </w:rPr>
              <w:t>项目实施主体</w:t>
            </w:r>
          </w:p>
        </w:tc>
        <w:tc>
          <w:tcPr>
            <w:tcW w:w="4021" w:type="pct"/>
            <w:shd w:val="clear" w:color="auto" w:fill="auto"/>
            <w:vAlign w:val="center"/>
          </w:tcPr>
          <w:p w14:paraId="067B820F" w14:textId="77777777" w:rsidR="00D26039" w:rsidRDefault="00B30650">
            <w:pPr>
              <w:widowControl/>
              <w:jc w:val="left"/>
              <w:rPr>
                <w:kern w:val="0"/>
                <w:szCs w:val="21"/>
              </w:rPr>
            </w:pPr>
            <w:r>
              <w:rPr>
                <w:rFonts w:hint="eastAsia"/>
                <w:kern w:val="0"/>
                <w:szCs w:val="21"/>
              </w:rPr>
              <w:t>安徽铜峰电子股份有限公司</w:t>
            </w:r>
          </w:p>
        </w:tc>
      </w:tr>
      <w:tr w:rsidR="00D26039" w14:paraId="2C989D69" w14:textId="77777777">
        <w:trPr>
          <w:trHeight w:val="397"/>
          <w:jc w:val="center"/>
        </w:trPr>
        <w:tc>
          <w:tcPr>
            <w:tcW w:w="979" w:type="pct"/>
            <w:shd w:val="clear" w:color="auto" w:fill="auto"/>
            <w:vAlign w:val="center"/>
          </w:tcPr>
          <w:p w14:paraId="6B1B962A" w14:textId="77777777" w:rsidR="00D26039" w:rsidRDefault="00B30650">
            <w:pPr>
              <w:widowControl/>
              <w:jc w:val="left"/>
              <w:rPr>
                <w:rFonts w:ascii="宋体" w:hAnsi="宋体" w:cs="Calibri"/>
                <w:kern w:val="0"/>
                <w:szCs w:val="21"/>
              </w:rPr>
            </w:pPr>
            <w:r>
              <w:rPr>
                <w:rFonts w:ascii="宋体" w:hAnsi="宋体" w:cs="Calibri" w:hint="eastAsia"/>
                <w:kern w:val="0"/>
                <w:szCs w:val="21"/>
              </w:rPr>
              <w:t>项目总投资</w:t>
            </w:r>
          </w:p>
        </w:tc>
        <w:tc>
          <w:tcPr>
            <w:tcW w:w="4021" w:type="pct"/>
            <w:shd w:val="clear" w:color="auto" w:fill="auto"/>
            <w:vAlign w:val="center"/>
          </w:tcPr>
          <w:p w14:paraId="1C5CBBAD" w14:textId="77777777" w:rsidR="00D26039" w:rsidRDefault="00B30650">
            <w:pPr>
              <w:widowControl/>
              <w:jc w:val="left"/>
              <w:rPr>
                <w:kern w:val="0"/>
                <w:szCs w:val="21"/>
              </w:rPr>
            </w:pPr>
            <w:r>
              <w:rPr>
                <w:kern w:val="0"/>
                <w:szCs w:val="21"/>
              </w:rPr>
              <w:t>34,550</w:t>
            </w:r>
            <w:r>
              <w:rPr>
                <w:rFonts w:hint="eastAsia"/>
                <w:kern w:val="0"/>
                <w:szCs w:val="21"/>
              </w:rPr>
              <w:t>.</w:t>
            </w:r>
            <w:r>
              <w:rPr>
                <w:kern w:val="0"/>
                <w:szCs w:val="21"/>
              </w:rPr>
              <w:t>00</w:t>
            </w:r>
            <w:r>
              <w:rPr>
                <w:rFonts w:hint="eastAsia"/>
                <w:kern w:val="0"/>
                <w:szCs w:val="21"/>
              </w:rPr>
              <w:t>万元</w:t>
            </w:r>
          </w:p>
        </w:tc>
      </w:tr>
      <w:tr w:rsidR="00D26039" w14:paraId="5694C66A" w14:textId="77777777">
        <w:trPr>
          <w:trHeight w:val="397"/>
          <w:jc w:val="center"/>
        </w:trPr>
        <w:tc>
          <w:tcPr>
            <w:tcW w:w="979" w:type="pct"/>
            <w:shd w:val="clear" w:color="auto" w:fill="auto"/>
            <w:vAlign w:val="center"/>
          </w:tcPr>
          <w:p w14:paraId="75DB9C82" w14:textId="77777777" w:rsidR="00D26039" w:rsidRDefault="00B30650">
            <w:pPr>
              <w:widowControl/>
              <w:jc w:val="left"/>
              <w:rPr>
                <w:rFonts w:ascii="宋体" w:hAnsi="宋体" w:cs="Calibri"/>
                <w:kern w:val="0"/>
                <w:szCs w:val="21"/>
              </w:rPr>
            </w:pPr>
            <w:r>
              <w:rPr>
                <w:rFonts w:ascii="宋体" w:hAnsi="宋体" w:cs="Calibri" w:hint="eastAsia"/>
                <w:kern w:val="0"/>
                <w:szCs w:val="21"/>
              </w:rPr>
              <w:t>项目建设内容</w:t>
            </w:r>
          </w:p>
        </w:tc>
        <w:tc>
          <w:tcPr>
            <w:tcW w:w="4021" w:type="pct"/>
            <w:shd w:val="clear" w:color="auto" w:fill="auto"/>
            <w:vAlign w:val="center"/>
          </w:tcPr>
          <w:p w14:paraId="05101F7E" w14:textId="77777777" w:rsidR="00D26039" w:rsidRDefault="00B30650">
            <w:pPr>
              <w:widowControl/>
              <w:jc w:val="left"/>
              <w:rPr>
                <w:kern w:val="0"/>
                <w:szCs w:val="21"/>
              </w:rPr>
            </w:pPr>
            <w:r>
              <w:rPr>
                <w:rFonts w:hint="eastAsia"/>
                <w:kern w:val="0"/>
                <w:szCs w:val="21"/>
              </w:rPr>
              <w:t>本项目新建一幢聚丙烯薄膜生产厂房，占地面积</w:t>
            </w:r>
            <w:r>
              <w:rPr>
                <w:rFonts w:hint="eastAsia"/>
                <w:kern w:val="0"/>
                <w:szCs w:val="21"/>
              </w:rPr>
              <w:t>9</w:t>
            </w:r>
            <w:r>
              <w:rPr>
                <w:kern w:val="0"/>
                <w:szCs w:val="21"/>
              </w:rPr>
              <w:t>,</w:t>
            </w:r>
            <w:r>
              <w:rPr>
                <w:rFonts w:hint="eastAsia"/>
                <w:kern w:val="0"/>
                <w:szCs w:val="21"/>
              </w:rPr>
              <w:t>000m</w:t>
            </w:r>
            <w:r>
              <w:rPr>
                <w:rFonts w:hint="eastAsia"/>
                <w:kern w:val="0"/>
                <w:szCs w:val="21"/>
              </w:rPr>
              <w:t>²，总建筑面积</w:t>
            </w:r>
            <w:r>
              <w:rPr>
                <w:rFonts w:hint="eastAsia"/>
                <w:kern w:val="0"/>
                <w:szCs w:val="21"/>
              </w:rPr>
              <w:t>1</w:t>
            </w:r>
            <w:r>
              <w:rPr>
                <w:kern w:val="0"/>
                <w:szCs w:val="21"/>
              </w:rPr>
              <w:t>7,900</w:t>
            </w:r>
            <w:r>
              <w:rPr>
                <w:rFonts w:hint="eastAsia"/>
                <w:kern w:val="0"/>
                <w:szCs w:val="21"/>
              </w:rPr>
              <w:t>㎡，共引进</w:t>
            </w:r>
            <w:r>
              <w:rPr>
                <w:kern w:val="0"/>
                <w:szCs w:val="21"/>
              </w:rPr>
              <w:t>2</w:t>
            </w:r>
            <w:r>
              <w:rPr>
                <w:rFonts w:hint="eastAsia"/>
                <w:kern w:val="0"/>
                <w:szCs w:val="21"/>
              </w:rPr>
              <w:t>条超薄型薄膜生产线，并配套部分国产设备及相关公用辅助工程，形成完整的新能源用超薄型薄膜材料生产体系。项目建成达</w:t>
            </w:r>
            <w:proofErr w:type="gramStart"/>
            <w:r>
              <w:rPr>
                <w:rFonts w:hint="eastAsia"/>
                <w:kern w:val="0"/>
                <w:szCs w:val="21"/>
              </w:rPr>
              <w:t>产后将</w:t>
            </w:r>
            <w:proofErr w:type="gramEnd"/>
            <w:r>
              <w:rPr>
                <w:rFonts w:hint="eastAsia"/>
                <w:kern w:val="0"/>
                <w:szCs w:val="21"/>
              </w:rPr>
              <w:t>形成年产</w:t>
            </w:r>
            <w:r>
              <w:rPr>
                <w:rFonts w:hint="eastAsia"/>
                <w:bCs/>
                <w:szCs w:val="21"/>
              </w:rPr>
              <w:t>新能源用超薄型薄膜材料</w:t>
            </w:r>
            <w:r>
              <w:rPr>
                <w:rFonts w:hint="eastAsia"/>
                <w:bCs/>
                <w:szCs w:val="21"/>
              </w:rPr>
              <w:t>4</w:t>
            </w:r>
            <w:r>
              <w:rPr>
                <w:bCs/>
                <w:szCs w:val="21"/>
              </w:rPr>
              <w:t>,100</w:t>
            </w:r>
            <w:r>
              <w:rPr>
                <w:rFonts w:hint="eastAsia"/>
                <w:bCs/>
                <w:szCs w:val="21"/>
              </w:rPr>
              <w:t>吨的生产能力以及</w:t>
            </w:r>
            <w:r>
              <w:rPr>
                <w:rFonts w:hint="eastAsia"/>
                <w:bCs/>
                <w:szCs w:val="21"/>
              </w:rPr>
              <w:t>2</w:t>
            </w:r>
            <w:r>
              <w:rPr>
                <w:bCs/>
                <w:szCs w:val="21"/>
              </w:rPr>
              <w:t>,</w:t>
            </w:r>
            <w:r>
              <w:rPr>
                <w:rFonts w:hint="eastAsia"/>
                <w:bCs/>
                <w:szCs w:val="21"/>
              </w:rPr>
              <w:t>100</w:t>
            </w:r>
            <w:r>
              <w:rPr>
                <w:rFonts w:hint="eastAsia"/>
                <w:bCs/>
                <w:szCs w:val="21"/>
              </w:rPr>
              <w:t>吨再生粒子的生产能力。</w:t>
            </w:r>
          </w:p>
        </w:tc>
      </w:tr>
      <w:tr w:rsidR="00D26039" w14:paraId="7BD4E497" w14:textId="77777777">
        <w:trPr>
          <w:trHeight w:val="397"/>
          <w:jc w:val="center"/>
        </w:trPr>
        <w:tc>
          <w:tcPr>
            <w:tcW w:w="979" w:type="pct"/>
            <w:shd w:val="clear" w:color="auto" w:fill="auto"/>
            <w:vAlign w:val="center"/>
          </w:tcPr>
          <w:p w14:paraId="248CBFB4" w14:textId="77777777" w:rsidR="00D26039" w:rsidRDefault="00B30650">
            <w:pPr>
              <w:widowControl/>
              <w:jc w:val="left"/>
              <w:rPr>
                <w:rFonts w:ascii="宋体" w:hAnsi="宋体" w:cs="Calibri"/>
                <w:kern w:val="0"/>
                <w:szCs w:val="21"/>
              </w:rPr>
            </w:pPr>
            <w:r>
              <w:rPr>
                <w:rFonts w:ascii="宋体" w:hAnsi="宋体" w:cs="Calibri" w:hint="eastAsia"/>
                <w:kern w:val="0"/>
                <w:szCs w:val="21"/>
              </w:rPr>
              <w:t>项目建设地点</w:t>
            </w:r>
          </w:p>
        </w:tc>
        <w:tc>
          <w:tcPr>
            <w:tcW w:w="4021" w:type="pct"/>
            <w:shd w:val="clear" w:color="auto" w:fill="auto"/>
            <w:vAlign w:val="center"/>
          </w:tcPr>
          <w:p w14:paraId="46A32525" w14:textId="77777777" w:rsidR="00D26039" w:rsidRDefault="00B30650">
            <w:pPr>
              <w:widowControl/>
              <w:jc w:val="left"/>
              <w:rPr>
                <w:kern w:val="0"/>
                <w:szCs w:val="21"/>
              </w:rPr>
            </w:pPr>
            <w:r>
              <w:rPr>
                <w:rFonts w:hint="eastAsia"/>
                <w:kern w:val="0"/>
                <w:szCs w:val="21"/>
              </w:rPr>
              <w:t>安徽省铜陵市经济技术开发区铜峰工业园内</w:t>
            </w:r>
          </w:p>
        </w:tc>
      </w:tr>
    </w:tbl>
    <w:p w14:paraId="31526121" w14:textId="77777777" w:rsidR="00D26039" w:rsidRDefault="00B30650">
      <w:pPr>
        <w:spacing w:beforeLines="50" w:before="156" w:afterLines="50" w:after="156" w:line="360" w:lineRule="auto"/>
        <w:ind w:firstLineChars="200" w:firstLine="482"/>
        <w:rPr>
          <w:rFonts w:ascii="宋体" w:hAnsi="宋体"/>
          <w:b/>
          <w:sz w:val="24"/>
        </w:rPr>
      </w:pPr>
      <w:r>
        <w:rPr>
          <w:rFonts w:hint="eastAsia"/>
          <w:b/>
          <w:sz w:val="24"/>
        </w:rPr>
        <w:t>2</w:t>
      </w:r>
      <w:r>
        <w:rPr>
          <w:rFonts w:ascii="宋体" w:hAnsi="宋体" w:hint="eastAsia"/>
          <w:b/>
          <w:sz w:val="24"/>
        </w:rPr>
        <w:t>、项目建设的必要性分析</w:t>
      </w:r>
    </w:p>
    <w:p w14:paraId="4064F499" w14:textId="77777777"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lastRenderedPageBreak/>
        <w:t>（</w:t>
      </w:r>
      <w:r>
        <w:rPr>
          <w:rFonts w:hint="eastAsia"/>
          <w:b/>
          <w:sz w:val="24"/>
        </w:rPr>
        <w:t>1</w:t>
      </w:r>
      <w:r>
        <w:rPr>
          <w:rFonts w:ascii="宋体" w:hAnsi="宋体" w:hint="eastAsia"/>
          <w:b/>
          <w:sz w:val="24"/>
        </w:rPr>
        <w:t>）国家“双碳”战略推进新能源产业快速发展，带动超薄型聚丙烯薄膜市场需求</w:t>
      </w:r>
    </w:p>
    <w:p w14:paraId="7C08619A" w14:textId="526A552F"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在国家“双碳”战略的推动下，我国新能源产业得到快速发展，且未来将呈现巨大的发展机遇。共同构建绿色循环低碳的能源体系已成为人类社会的共同使命，光伏</w:t>
      </w:r>
      <w:proofErr w:type="gramStart"/>
      <w:r>
        <w:rPr>
          <w:rFonts w:asciiTheme="minorEastAsia" w:eastAsiaTheme="minorEastAsia" w:hAnsiTheme="minorEastAsia" w:hint="eastAsia"/>
          <w:kern w:val="0"/>
          <w:sz w:val="24"/>
        </w:rPr>
        <w:t>和风电</w:t>
      </w:r>
      <w:proofErr w:type="gramEnd"/>
      <w:r>
        <w:rPr>
          <w:rFonts w:asciiTheme="minorEastAsia" w:eastAsiaTheme="minorEastAsia" w:hAnsiTheme="minorEastAsia" w:hint="eastAsia"/>
          <w:kern w:val="0"/>
          <w:sz w:val="24"/>
        </w:rPr>
        <w:t>有望成为解决全球能源短缺、环境污染问题的重要技术路线。其中，在光伏方面，2021年我国光伏发电新增装机54.88GW，同比增长14%，其中分布式光伏新增29.28GW，占比历史上首次突破新增装机总量的50%；光伏发电量3259亿千瓦时，同比增长25.1%。同时，全球主流光</w:t>
      </w:r>
      <w:proofErr w:type="gramStart"/>
      <w:r>
        <w:rPr>
          <w:rFonts w:asciiTheme="minorEastAsia" w:eastAsiaTheme="minorEastAsia" w:hAnsiTheme="minorEastAsia" w:hint="eastAsia"/>
          <w:kern w:val="0"/>
          <w:sz w:val="24"/>
        </w:rPr>
        <w:t>伏市场</w:t>
      </w:r>
      <w:proofErr w:type="gramEnd"/>
      <w:r>
        <w:rPr>
          <w:rFonts w:asciiTheme="minorEastAsia" w:eastAsiaTheme="minorEastAsia" w:hAnsiTheme="minorEastAsia" w:hint="eastAsia"/>
          <w:kern w:val="0"/>
          <w:sz w:val="24"/>
        </w:rPr>
        <w:t>的强势复苏、新兴光</w:t>
      </w:r>
      <w:proofErr w:type="gramStart"/>
      <w:r>
        <w:rPr>
          <w:rFonts w:asciiTheme="minorEastAsia" w:eastAsiaTheme="minorEastAsia" w:hAnsiTheme="minorEastAsia" w:hint="eastAsia"/>
          <w:kern w:val="0"/>
          <w:sz w:val="24"/>
        </w:rPr>
        <w:t>伏市场</w:t>
      </w:r>
      <w:proofErr w:type="gramEnd"/>
      <w:r>
        <w:rPr>
          <w:rFonts w:asciiTheme="minorEastAsia" w:eastAsiaTheme="minorEastAsia" w:hAnsiTheme="minorEastAsia" w:hint="eastAsia"/>
          <w:kern w:val="0"/>
          <w:sz w:val="24"/>
        </w:rPr>
        <w:t>快速发展。2021年全球光伏新增装机总量达到170GW，再创历史新高。国内光</w:t>
      </w:r>
      <w:proofErr w:type="gramStart"/>
      <w:r>
        <w:rPr>
          <w:rFonts w:asciiTheme="minorEastAsia" w:eastAsiaTheme="minorEastAsia" w:hAnsiTheme="minorEastAsia" w:hint="eastAsia"/>
          <w:kern w:val="0"/>
          <w:sz w:val="24"/>
        </w:rPr>
        <w:t>伏企业</w:t>
      </w:r>
      <w:proofErr w:type="gramEnd"/>
      <w:r>
        <w:rPr>
          <w:rFonts w:asciiTheme="minorEastAsia" w:eastAsiaTheme="minorEastAsia" w:hAnsiTheme="minorEastAsia" w:hint="eastAsia"/>
          <w:kern w:val="0"/>
          <w:sz w:val="24"/>
        </w:rPr>
        <w:t>主动跟进海外电站项目的配套化建设，产能规模与成本优势在国际竞争中逐渐凸显，出口规模快速增长。根据中国光</w:t>
      </w:r>
      <w:proofErr w:type="gramStart"/>
      <w:r>
        <w:rPr>
          <w:rFonts w:asciiTheme="minorEastAsia" w:eastAsiaTheme="minorEastAsia" w:hAnsiTheme="minorEastAsia" w:hint="eastAsia"/>
          <w:kern w:val="0"/>
          <w:sz w:val="24"/>
        </w:rPr>
        <w:t>伏协会</w:t>
      </w:r>
      <w:proofErr w:type="gramEnd"/>
      <w:r>
        <w:rPr>
          <w:rFonts w:asciiTheme="minorEastAsia" w:eastAsiaTheme="minorEastAsia" w:hAnsiTheme="minorEastAsia" w:hint="eastAsia"/>
          <w:kern w:val="0"/>
          <w:sz w:val="24"/>
        </w:rPr>
        <w:t>的统计数据显示，2021年我国光伏产品出口额超284亿美元，同比增长43.9%。在风电方面，2021年我国风力发电新增装机量47.57 GW，海上风电装机1</w:t>
      </w:r>
      <w:r>
        <w:rPr>
          <w:rFonts w:asciiTheme="minorEastAsia" w:eastAsiaTheme="minorEastAsia" w:hAnsiTheme="minorEastAsia"/>
          <w:kern w:val="0"/>
          <w:sz w:val="24"/>
        </w:rPr>
        <w:t>6.9GW</w:t>
      </w:r>
      <w:r>
        <w:rPr>
          <w:rFonts w:asciiTheme="minorEastAsia" w:eastAsiaTheme="minorEastAsia" w:hAnsiTheme="minorEastAsia" w:hint="eastAsia"/>
          <w:kern w:val="0"/>
          <w:sz w:val="24"/>
        </w:rPr>
        <w:t>，跃居世界第一；风力发电量为6526亿千瓦时，同比增长39.9%。在新能源汽车方面，根据中国汽车工业协会的统计数据显示，2021年我国新能源汽车累计产量354.5万辆，同比增长1.6倍；新能源汽车渗透率达到14.8%，较2020年5.8%的渗透率大幅提升。</w:t>
      </w:r>
    </w:p>
    <w:p w14:paraId="689550D9" w14:textId="05D01B93"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新能源用电容器主要应用于交直流滤波、混合动力汽车以及光伏发电、风力发电等新能源领域，而超薄型聚丙烯薄膜正是适用于以上新能源用电容器制造所需的新一代有机绝缘介质，具有优越的电气及机械加工性能，是新能源用薄膜电容器的核心原材料。国家“双碳”战略背景下，新能源发电、新能源汽车的发展将进一步扩大对薄膜电容器的大量需求，为电容器用薄膜材料产品带来极大</w:t>
      </w:r>
      <w:r w:rsidR="00F6487A">
        <w:rPr>
          <w:rFonts w:asciiTheme="minorEastAsia" w:eastAsiaTheme="minorEastAsia" w:hAnsiTheme="minorEastAsia" w:hint="eastAsia"/>
          <w:kern w:val="0"/>
          <w:sz w:val="24"/>
        </w:rPr>
        <w:t>的</w:t>
      </w:r>
      <w:r>
        <w:rPr>
          <w:rFonts w:asciiTheme="minorEastAsia" w:eastAsiaTheme="minorEastAsia" w:hAnsiTheme="minorEastAsia" w:hint="eastAsia"/>
          <w:kern w:val="0"/>
          <w:sz w:val="24"/>
        </w:rPr>
        <w:t>发展机遇。</w:t>
      </w:r>
    </w:p>
    <w:p w14:paraId="434B7112" w14:textId="77777777"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t>（</w:t>
      </w:r>
      <w:r>
        <w:rPr>
          <w:b/>
          <w:sz w:val="24"/>
        </w:rPr>
        <w:t>2</w:t>
      </w:r>
      <w:r>
        <w:rPr>
          <w:rFonts w:ascii="宋体" w:hAnsi="宋体" w:hint="eastAsia"/>
          <w:b/>
          <w:sz w:val="24"/>
        </w:rPr>
        <w:t>）公司现有聚丙烯薄膜产能不能满足当前新能源市场新需求</w:t>
      </w:r>
    </w:p>
    <w:p w14:paraId="403D8A05" w14:textId="48699548"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bookmarkStart w:id="69" w:name="_Hlk112426272"/>
      <w:r>
        <w:rPr>
          <w:rFonts w:asciiTheme="minorEastAsia" w:eastAsiaTheme="minorEastAsia" w:hAnsiTheme="minorEastAsia" w:hint="eastAsia"/>
          <w:kern w:val="0"/>
          <w:sz w:val="24"/>
        </w:rPr>
        <w:t>目前，公司生产</w:t>
      </w:r>
      <w:r w:rsidR="000E4715">
        <w:rPr>
          <w:rFonts w:asciiTheme="minorEastAsia" w:eastAsiaTheme="minorEastAsia" w:hAnsiTheme="minorEastAsia" w:hint="eastAsia"/>
          <w:kern w:val="0"/>
          <w:sz w:val="24"/>
        </w:rPr>
        <w:t>的新能源用</w:t>
      </w:r>
      <w:r>
        <w:rPr>
          <w:rFonts w:asciiTheme="minorEastAsia" w:eastAsiaTheme="minorEastAsia" w:hAnsiTheme="minorEastAsia" w:hint="eastAsia"/>
          <w:kern w:val="0"/>
          <w:sz w:val="24"/>
        </w:rPr>
        <w:t>超薄型聚丙烯薄膜</w:t>
      </w:r>
      <w:r w:rsidR="000E4715">
        <w:rPr>
          <w:rFonts w:asciiTheme="minorEastAsia" w:eastAsiaTheme="minorEastAsia" w:hAnsiTheme="minorEastAsia" w:hint="eastAsia"/>
          <w:kern w:val="0"/>
          <w:sz w:val="24"/>
        </w:rPr>
        <w:t>的</w:t>
      </w:r>
      <w:r>
        <w:rPr>
          <w:rFonts w:asciiTheme="minorEastAsia" w:eastAsiaTheme="minorEastAsia" w:hAnsiTheme="minorEastAsia" w:hint="eastAsia"/>
          <w:kern w:val="0"/>
          <w:sz w:val="24"/>
        </w:rPr>
        <w:t>工艺技术和产品质量为国内先进水平，但</w:t>
      </w:r>
      <w:r w:rsidR="000E4715">
        <w:rPr>
          <w:rFonts w:asciiTheme="minorEastAsia" w:eastAsiaTheme="minorEastAsia" w:hAnsiTheme="minorEastAsia" w:hint="eastAsia"/>
          <w:kern w:val="0"/>
          <w:sz w:val="24"/>
        </w:rPr>
        <w:t>现有</w:t>
      </w:r>
      <w:r>
        <w:rPr>
          <w:rFonts w:asciiTheme="minorEastAsia" w:eastAsiaTheme="minorEastAsia" w:hAnsiTheme="minorEastAsia" w:hint="eastAsia"/>
          <w:kern w:val="0"/>
          <w:sz w:val="24"/>
        </w:rPr>
        <w:t>产能远不能满足国内</w:t>
      </w:r>
      <w:r w:rsidR="000E4715">
        <w:rPr>
          <w:rFonts w:asciiTheme="minorEastAsia" w:eastAsiaTheme="minorEastAsia" w:hAnsiTheme="minorEastAsia" w:hint="eastAsia"/>
          <w:kern w:val="0"/>
          <w:sz w:val="24"/>
        </w:rPr>
        <w:t>新能源市场</w:t>
      </w:r>
      <w:r>
        <w:rPr>
          <w:rFonts w:asciiTheme="minorEastAsia" w:eastAsiaTheme="minorEastAsia" w:hAnsiTheme="minorEastAsia" w:hint="eastAsia"/>
          <w:kern w:val="0"/>
          <w:sz w:val="24"/>
        </w:rPr>
        <w:t>逐年</w:t>
      </w:r>
      <w:r w:rsidR="000E4715">
        <w:rPr>
          <w:rFonts w:asciiTheme="minorEastAsia" w:eastAsiaTheme="minorEastAsia" w:hAnsiTheme="minorEastAsia" w:hint="eastAsia"/>
          <w:kern w:val="0"/>
          <w:sz w:val="24"/>
        </w:rPr>
        <w:t>增长</w:t>
      </w:r>
      <w:r>
        <w:rPr>
          <w:rFonts w:asciiTheme="minorEastAsia" w:eastAsiaTheme="minorEastAsia" w:hAnsiTheme="minorEastAsia" w:hint="eastAsia"/>
          <w:kern w:val="0"/>
          <w:sz w:val="24"/>
        </w:rPr>
        <w:t>的市场需求，难以实现公司经济效益最大化。</w:t>
      </w:r>
      <w:bookmarkEnd w:id="69"/>
    </w:p>
    <w:p w14:paraId="13E4AA6D" w14:textId="3E25287E"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因此，公司亟需新建面向新能源市场的超薄型聚丙烯薄膜生产线，</w:t>
      </w:r>
      <w:r w:rsidR="00A27A17">
        <w:rPr>
          <w:rFonts w:asciiTheme="minorEastAsia" w:eastAsiaTheme="minorEastAsia" w:hAnsiTheme="minorEastAsia" w:hint="eastAsia"/>
          <w:kern w:val="0"/>
          <w:sz w:val="24"/>
        </w:rPr>
        <w:t>扩大</w:t>
      </w:r>
      <w:r w:rsidR="00B2164F">
        <w:rPr>
          <w:rFonts w:asciiTheme="minorEastAsia" w:eastAsiaTheme="minorEastAsia" w:hAnsiTheme="minorEastAsia" w:hint="eastAsia"/>
          <w:kern w:val="0"/>
          <w:sz w:val="24"/>
        </w:rPr>
        <w:t>产品产能，</w:t>
      </w:r>
      <w:r>
        <w:rPr>
          <w:rFonts w:asciiTheme="minorEastAsia" w:eastAsiaTheme="minorEastAsia" w:hAnsiTheme="minorEastAsia" w:hint="eastAsia"/>
          <w:kern w:val="0"/>
          <w:sz w:val="24"/>
        </w:rPr>
        <w:t>充分</w:t>
      </w:r>
      <w:proofErr w:type="gramStart"/>
      <w:r>
        <w:rPr>
          <w:rFonts w:asciiTheme="minorEastAsia" w:eastAsiaTheme="minorEastAsia" w:hAnsiTheme="minorEastAsia" w:hint="eastAsia"/>
          <w:kern w:val="0"/>
          <w:sz w:val="24"/>
        </w:rPr>
        <w:t>发挥自</w:t>
      </w:r>
      <w:proofErr w:type="gramEnd"/>
      <w:r>
        <w:rPr>
          <w:rFonts w:asciiTheme="minorEastAsia" w:eastAsiaTheme="minorEastAsia" w:hAnsiTheme="minorEastAsia" w:hint="eastAsia"/>
          <w:kern w:val="0"/>
          <w:sz w:val="24"/>
        </w:rPr>
        <w:t>有技术水平，继续推动薄膜产品向超薄型、高耐温、高耐</w:t>
      </w:r>
      <w:proofErr w:type="gramStart"/>
      <w:r>
        <w:rPr>
          <w:rFonts w:asciiTheme="minorEastAsia" w:eastAsiaTheme="minorEastAsia" w:hAnsiTheme="minorEastAsia" w:hint="eastAsia"/>
          <w:kern w:val="0"/>
          <w:sz w:val="24"/>
        </w:rPr>
        <w:t>压方</w:t>
      </w:r>
      <w:r>
        <w:rPr>
          <w:rFonts w:asciiTheme="minorEastAsia" w:eastAsiaTheme="minorEastAsia" w:hAnsiTheme="minorEastAsia" w:hint="eastAsia"/>
          <w:kern w:val="0"/>
          <w:sz w:val="24"/>
        </w:rPr>
        <w:lastRenderedPageBreak/>
        <w:t>向</w:t>
      </w:r>
      <w:proofErr w:type="gramEnd"/>
      <w:r>
        <w:rPr>
          <w:rFonts w:asciiTheme="minorEastAsia" w:eastAsiaTheme="minorEastAsia" w:hAnsiTheme="minorEastAsia" w:hint="eastAsia"/>
          <w:kern w:val="0"/>
          <w:sz w:val="24"/>
        </w:rPr>
        <w:t>发展，迎接新能源行业大发展带来的市场机遇，提升公司综合竞争力及盈利水平。</w:t>
      </w:r>
    </w:p>
    <w:p w14:paraId="466ACB73" w14:textId="77777777" w:rsidR="00D26039" w:rsidRDefault="00B30650">
      <w:pPr>
        <w:spacing w:beforeLines="50" w:before="156" w:afterLines="50" w:after="156" w:line="360" w:lineRule="auto"/>
        <w:ind w:firstLineChars="200" w:firstLine="482"/>
        <w:rPr>
          <w:rFonts w:ascii="宋体" w:hAnsi="宋体"/>
          <w:b/>
          <w:sz w:val="24"/>
        </w:rPr>
      </w:pPr>
      <w:r>
        <w:rPr>
          <w:b/>
          <w:sz w:val="24"/>
        </w:rPr>
        <w:t>3</w:t>
      </w:r>
      <w:r>
        <w:rPr>
          <w:rFonts w:ascii="宋体" w:hAnsi="宋体" w:hint="eastAsia"/>
          <w:b/>
          <w:sz w:val="24"/>
        </w:rPr>
        <w:t>、项目建设的可行性分析</w:t>
      </w:r>
    </w:p>
    <w:p w14:paraId="0A0BC8EE" w14:textId="5D2E217A"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t>（</w:t>
      </w:r>
      <w:r>
        <w:rPr>
          <w:rFonts w:hint="eastAsia"/>
          <w:b/>
          <w:sz w:val="24"/>
        </w:rPr>
        <w:t>1</w:t>
      </w:r>
      <w:r>
        <w:rPr>
          <w:rFonts w:ascii="宋体" w:hAnsi="宋体" w:hint="eastAsia"/>
          <w:b/>
          <w:sz w:val="24"/>
        </w:rPr>
        <w:t>）公司技术创新平台和技术创新能力优势，为本次募集资金项目的实施奠定了坚实基础</w:t>
      </w:r>
    </w:p>
    <w:p w14:paraId="01281740"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宋体" w:hAnsi="宋体" w:hint="eastAsia"/>
          <w:kern w:val="0"/>
          <w:sz w:val="24"/>
        </w:rPr>
        <w:t>公司秉承创新传统，已形成“科研</w:t>
      </w:r>
      <w:r>
        <w:rPr>
          <w:rFonts w:ascii="宋体" w:hAnsi="宋体"/>
          <w:kern w:val="0"/>
          <w:sz w:val="24"/>
        </w:rPr>
        <w:t>-技术创新-产品创新-新产品产业化生产”一体化</w:t>
      </w:r>
      <w:r>
        <w:rPr>
          <w:rFonts w:ascii="宋体" w:hAnsi="宋体" w:hint="eastAsia"/>
          <w:kern w:val="0"/>
          <w:sz w:val="24"/>
        </w:rPr>
        <w:t>。</w:t>
      </w:r>
      <w:r>
        <w:rPr>
          <w:rFonts w:asciiTheme="minorEastAsia" w:eastAsiaTheme="minorEastAsia" w:hAnsiTheme="minorEastAsia" w:hint="eastAsia"/>
          <w:kern w:val="0"/>
          <w:sz w:val="24"/>
        </w:rPr>
        <w:t>公司已掌握电容器用薄膜、金属化镀膜和薄膜电容器的生产核心技术。拥有由专家和经验丰富技术人员组成的研发队伍，并与国内外多家高校、研究机构建立紧密的合作关系。此外，公司还参与《电容器用双向拉伸聚丙烯薄膜》、《电气绝缘用薄膜试验方法》、《电容器用铝金属化聚丙烯薄膜》、《电容器用铝金属化聚酯薄膜》等行业标准的制定工作，是同行业标准化推行的积极倡导者。</w:t>
      </w:r>
    </w:p>
    <w:p w14:paraId="7A109BFB" w14:textId="30DFB904"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宋体" w:hAnsi="宋体" w:hint="eastAsia"/>
          <w:kern w:val="0"/>
          <w:sz w:val="24"/>
        </w:rPr>
        <w:t>公司已建立</w:t>
      </w:r>
      <w:r>
        <w:rPr>
          <w:rFonts w:ascii="宋体" w:hAnsi="宋体"/>
          <w:kern w:val="0"/>
          <w:sz w:val="24"/>
        </w:rPr>
        <w:t>博士后科研工作站</w:t>
      </w:r>
      <w:r w:rsidR="00D21619">
        <w:rPr>
          <w:rFonts w:ascii="宋体" w:hAnsi="宋体" w:hint="eastAsia"/>
          <w:kern w:val="0"/>
          <w:sz w:val="24"/>
        </w:rPr>
        <w:t>，</w:t>
      </w:r>
      <w:r>
        <w:rPr>
          <w:rFonts w:ascii="宋体" w:hAnsi="宋体"/>
          <w:kern w:val="0"/>
          <w:sz w:val="24"/>
        </w:rPr>
        <w:t>为</w:t>
      </w:r>
      <w:r>
        <w:rPr>
          <w:rFonts w:ascii="宋体" w:hAnsi="宋体" w:hint="eastAsia"/>
          <w:kern w:val="0"/>
          <w:sz w:val="24"/>
        </w:rPr>
        <w:t>公司</w:t>
      </w:r>
      <w:r>
        <w:rPr>
          <w:rFonts w:ascii="宋体" w:hAnsi="宋体"/>
          <w:kern w:val="0"/>
          <w:sz w:val="24"/>
        </w:rPr>
        <w:t>技术创新能力的进一步提升增添技术保障</w:t>
      </w:r>
      <w:r>
        <w:rPr>
          <w:rFonts w:ascii="宋体" w:hAnsi="宋体" w:hint="eastAsia"/>
          <w:kern w:val="0"/>
          <w:sz w:val="24"/>
        </w:rPr>
        <w:t>，</w:t>
      </w:r>
      <w:r>
        <w:rPr>
          <w:rFonts w:ascii="宋体" w:hAnsi="宋体"/>
          <w:kern w:val="0"/>
          <w:sz w:val="24"/>
        </w:rPr>
        <w:t>多项技术创新成果获得国家专利，为公司的产业化转型升级提供了有力的技术支撑。</w:t>
      </w:r>
    </w:p>
    <w:p w14:paraId="3F4543AA" w14:textId="77777777"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t>（</w:t>
      </w:r>
      <w:r>
        <w:rPr>
          <w:b/>
          <w:sz w:val="24"/>
        </w:rPr>
        <w:t>2</w:t>
      </w:r>
      <w:r>
        <w:rPr>
          <w:rFonts w:ascii="宋体" w:hAnsi="宋体" w:hint="eastAsia"/>
          <w:b/>
          <w:sz w:val="24"/>
        </w:rPr>
        <w:t>）公司具备生产超薄型聚丙烯薄膜的生产优势和客户储备</w:t>
      </w:r>
    </w:p>
    <w:p w14:paraId="5F41B9F5"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公司现拥有</w:t>
      </w:r>
      <w:r>
        <w:rPr>
          <w:rFonts w:eastAsiaTheme="minorEastAsia" w:hint="eastAsia"/>
          <w:kern w:val="0"/>
          <w:sz w:val="24"/>
        </w:rPr>
        <w:t>6</w:t>
      </w:r>
      <w:r>
        <w:rPr>
          <w:rFonts w:asciiTheme="minorEastAsia" w:eastAsiaTheme="minorEastAsia" w:hAnsiTheme="minorEastAsia" w:hint="eastAsia"/>
          <w:kern w:val="0"/>
          <w:sz w:val="24"/>
        </w:rPr>
        <w:t>条电容器用聚丙烯薄膜生产线、多台金属化镀膜设备、电力电子电容器生产设备，结合公司多年积累的生产经验和市场需求对进口设备及生产线进行消化、改造和创新，改进现有工艺和开发新的工艺技术，增加新的品种和提高产品质量，已实现专业化及规模化生产，能更好地保证产品品质和有效地发挥规模效益。“铜峰”商标被授予中国驰名品牌、安徽省著名商标。</w:t>
      </w:r>
    </w:p>
    <w:p w14:paraId="7787C6BD" w14:textId="77777777" w:rsidR="00D26039" w:rsidRDefault="00B30650">
      <w:pPr>
        <w:tabs>
          <w:tab w:val="left" w:pos="1440"/>
        </w:tabs>
        <w:autoSpaceDE w:val="0"/>
        <w:spacing w:beforeLines="50" w:before="156" w:afterLines="50" w:after="156" w:line="360" w:lineRule="auto"/>
        <w:ind w:firstLineChars="200" w:firstLine="480"/>
        <w:rPr>
          <w:rFonts w:ascii="宋体" w:hAnsi="宋体"/>
          <w:kern w:val="0"/>
          <w:sz w:val="24"/>
        </w:rPr>
      </w:pPr>
      <w:r>
        <w:rPr>
          <w:rFonts w:ascii="宋体" w:hAnsi="宋体" w:hint="eastAsia"/>
          <w:kern w:val="0"/>
          <w:sz w:val="24"/>
        </w:rPr>
        <w:t>公司通过多年的发展，在行业内积累了大量优质的客户资源。近年来，公司紧紧抓住以市场为龙头的方针，建立了完善的市场营销网络，在国内主要用户区域设立了服务网点。公司加强专业化服务水平，提升客户满意度，及时为用户提供周到的服务，并及时了解、收集、反馈市场用户信息。这些举措帮助公司获取了一大批有影响力的客户。此外，通过积极拓展海外业务，公司与有关国家建立</w:t>
      </w:r>
      <w:r w:rsidRPr="00D21619">
        <w:rPr>
          <w:rFonts w:ascii="宋体" w:hAnsi="宋体" w:hint="eastAsia"/>
          <w:kern w:val="0"/>
          <w:sz w:val="24"/>
        </w:rPr>
        <w:t>了贸易关系，在美国、意大利、韩国和印度等国家均有良好的市场基础。</w:t>
      </w:r>
    </w:p>
    <w:p w14:paraId="2EE03F97" w14:textId="77777777" w:rsidR="00D26039" w:rsidRDefault="00B30650">
      <w:pPr>
        <w:spacing w:beforeLines="50" w:before="156" w:afterLines="50" w:after="156" w:line="360" w:lineRule="auto"/>
        <w:ind w:firstLineChars="200" w:firstLine="482"/>
        <w:rPr>
          <w:rFonts w:ascii="宋体" w:hAnsi="宋体"/>
          <w:b/>
          <w:sz w:val="24"/>
        </w:rPr>
      </w:pPr>
      <w:r>
        <w:rPr>
          <w:b/>
          <w:sz w:val="24"/>
        </w:rPr>
        <w:t>4</w:t>
      </w:r>
      <w:r>
        <w:rPr>
          <w:rFonts w:ascii="宋体" w:hAnsi="宋体" w:hint="eastAsia"/>
          <w:b/>
          <w:sz w:val="24"/>
        </w:rPr>
        <w:t>、项目建设内容</w:t>
      </w:r>
    </w:p>
    <w:p w14:paraId="6BF4524E"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本项目新建一幢聚丙烯薄膜生产厂房，占地面积9</w:t>
      </w:r>
      <w:r>
        <w:rPr>
          <w:rFonts w:asciiTheme="minorEastAsia" w:eastAsiaTheme="minorEastAsia" w:hAnsiTheme="minorEastAsia"/>
          <w:kern w:val="0"/>
          <w:sz w:val="24"/>
        </w:rPr>
        <w:t>,</w:t>
      </w:r>
      <w:r>
        <w:rPr>
          <w:rFonts w:asciiTheme="minorEastAsia" w:eastAsiaTheme="minorEastAsia" w:hAnsiTheme="minorEastAsia" w:hint="eastAsia"/>
          <w:kern w:val="0"/>
          <w:sz w:val="24"/>
        </w:rPr>
        <w:t>000m²，总建筑面积17,900㎡，共引进2条超薄型薄膜生产线，并配套部分国产设备及相关公用辅助工程，形成完整的新能源用超薄型薄膜材料生产体系。项目建成达</w:t>
      </w:r>
      <w:proofErr w:type="gramStart"/>
      <w:r>
        <w:rPr>
          <w:rFonts w:asciiTheme="minorEastAsia" w:eastAsiaTheme="minorEastAsia" w:hAnsiTheme="minorEastAsia" w:hint="eastAsia"/>
          <w:kern w:val="0"/>
          <w:sz w:val="24"/>
        </w:rPr>
        <w:t>产后将</w:t>
      </w:r>
      <w:proofErr w:type="gramEnd"/>
      <w:r>
        <w:rPr>
          <w:rFonts w:asciiTheme="minorEastAsia" w:eastAsiaTheme="minorEastAsia" w:hAnsiTheme="minorEastAsia" w:hint="eastAsia"/>
          <w:kern w:val="0"/>
          <w:sz w:val="24"/>
        </w:rPr>
        <w:t>形成年产新能源用超薄型薄膜材料4,100吨的生产能力以及2,100吨再生粒子的生产能力。</w:t>
      </w:r>
    </w:p>
    <w:p w14:paraId="17065AFF" w14:textId="77777777" w:rsidR="00D26039" w:rsidRDefault="00B30650">
      <w:pPr>
        <w:spacing w:beforeLines="50" w:before="156" w:afterLines="50" w:after="156" w:line="360" w:lineRule="auto"/>
        <w:ind w:firstLineChars="200" w:firstLine="482"/>
        <w:rPr>
          <w:rFonts w:ascii="宋体" w:hAnsi="宋体"/>
          <w:b/>
          <w:sz w:val="24"/>
        </w:rPr>
      </w:pPr>
      <w:r>
        <w:rPr>
          <w:b/>
          <w:sz w:val="24"/>
        </w:rPr>
        <w:t>5</w:t>
      </w:r>
      <w:r>
        <w:rPr>
          <w:rFonts w:ascii="宋体" w:hAnsi="宋体" w:hint="eastAsia"/>
          <w:b/>
          <w:sz w:val="24"/>
        </w:rPr>
        <w:t>、项目选址、实施主体及建设周期</w:t>
      </w:r>
    </w:p>
    <w:p w14:paraId="69DDA866"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sidRPr="00D21619">
        <w:rPr>
          <w:rFonts w:asciiTheme="minorEastAsia" w:eastAsiaTheme="minorEastAsia" w:hAnsiTheme="minorEastAsia" w:hint="eastAsia"/>
          <w:kern w:val="0"/>
          <w:sz w:val="24"/>
        </w:rPr>
        <w:t>项目建设地点为安徽省铜陵市经济技术开发区铜峰工业园内，项目实施主体为安徽铜峰电子股份有限公司，项目整体建设周期为</w:t>
      </w:r>
      <w:r w:rsidRPr="00D21619">
        <w:rPr>
          <w:rFonts w:eastAsiaTheme="minorEastAsia"/>
          <w:kern w:val="0"/>
          <w:sz w:val="24"/>
        </w:rPr>
        <w:t>4</w:t>
      </w:r>
      <w:r w:rsidRPr="00D21619">
        <w:rPr>
          <w:rFonts w:asciiTheme="minorEastAsia" w:eastAsiaTheme="minorEastAsia" w:hAnsiTheme="minorEastAsia" w:hint="eastAsia"/>
          <w:kern w:val="0"/>
          <w:sz w:val="24"/>
        </w:rPr>
        <w:t>年，自</w:t>
      </w:r>
      <w:r w:rsidRPr="00D21619">
        <w:rPr>
          <w:rFonts w:asciiTheme="minorEastAsia" w:eastAsiaTheme="minorEastAsia" w:hAnsiTheme="minorEastAsia"/>
          <w:kern w:val="0"/>
          <w:sz w:val="24"/>
        </w:rPr>
        <w:t>2021</w:t>
      </w:r>
      <w:r w:rsidRPr="00D21619">
        <w:rPr>
          <w:rFonts w:asciiTheme="minorEastAsia" w:eastAsiaTheme="minorEastAsia" w:hAnsiTheme="minorEastAsia" w:hint="eastAsia"/>
          <w:kern w:val="0"/>
          <w:sz w:val="24"/>
        </w:rPr>
        <w:t>年至</w:t>
      </w:r>
      <w:r w:rsidRPr="00D21619">
        <w:rPr>
          <w:rFonts w:asciiTheme="minorEastAsia" w:eastAsiaTheme="minorEastAsia" w:hAnsiTheme="minorEastAsia"/>
          <w:kern w:val="0"/>
          <w:sz w:val="24"/>
        </w:rPr>
        <w:t>2025</w:t>
      </w:r>
      <w:r w:rsidRPr="00D21619">
        <w:rPr>
          <w:rFonts w:asciiTheme="minorEastAsia" w:eastAsiaTheme="minorEastAsia" w:hAnsiTheme="minorEastAsia" w:hint="eastAsia"/>
          <w:kern w:val="0"/>
          <w:sz w:val="24"/>
        </w:rPr>
        <w:t>年。</w:t>
      </w:r>
    </w:p>
    <w:p w14:paraId="779240FF" w14:textId="77777777" w:rsidR="00D26039" w:rsidRDefault="00B30650">
      <w:pPr>
        <w:spacing w:beforeLines="50" w:before="156" w:afterLines="50" w:after="156" w:line="360" w:lineRule="auto"/>
        <w:ind w:firstLineChars="200" w:firstLine="482"/>
        <w:rPr>
          <w:rFonts w:ascii="宋体" w:hAnsi="宋体"/>
          <w:b/>
          <w:sz w:val="24"/>
        </w:rPr>
      </w:pPr>
      <w:r>
        <w:rPr>
          <w:b/>
          <w:sz w:val="24"/>
        </w:rPr>
        <w:t>6</w:t>
      </w:r>
      <w:r>
        <w:rPr>
          <w:rFonts w:ascii="宋体" w:hAnsi="宋体" w:hint="eastAsia"/>
          <w:b/>
          <w:sz w:val="24"/>
        </w:rPr>
        <w:t>、项目投资概算及效益测算</w:t>
      </w:r>
    </w:p>
    <w:p w14:paraId="40D45EB6" w14:textId="4DC73124" w:rsidR="00D26039" w:rsidRDefault="00B30650">
      <w:pPr>
        <w:tabs>
          <w:tab w:val="left" w:pos="1440"/>
        </w:tabs>
        <w:autoSpaceDE w:val="0"/>
        <w:spacing w:beforeLines="50" w:before="156" w:afterLines="50" w:after="156" w:line="360" w:lineRule="auto"/>
        <w:ind w:firstLineChars="200" w:firstLine="480"/>
        <w:rPr>
          <w:rFonts w:eastAsiaTheme="minorEastAsia"/>
          <w:kern w:val="0"/>
          <w:sz w:val="24"/>
        </w:rPr>
      </w:pPr>
      <w:r>
        <w:rPr>
          <w:rFonts w:eastAsiaTheme="minorEastAsia" w:hint="eastAsia"/>
          <w:kern w:val="0"/>
          <w:sz w:val="24"/>
        </w:rPr>
        <w:t>本项目投资总额为</w:t>
      </w:r>
      <w:r>
        <w:rPr>
          <w:rFonts w:eastAsiaTheme="minorEastAsia"/>
          <w:kern w:val="0"/>
          <w:sz w:val="24"/>
        </w:rPr>
        <w:t>34,550.00</w:t>
      </w:r>
      <w:r>
        <w:rPr>
          <w:rFonts w:eastAsiaTheme="minorEastAsia" w:hint="eastAsia"/>
          <w:kern w:val="0"/>
          <w:sz w:val="24"/>
        </w:rPr>
        <w:t>万元，其中使用募集资金投入</w:t>
      </w:r>
      <w:r>
        <w:rPr>
          <w:rFonts w:eastAsiaTheme="minorEastAsia"/>
          <w:kern w:val="0"/>
          <w:sz w:val="24"/>
        </w:rPr>
        <w:t>28,000.00</w:t>
      </w:r>
      <w:r>
        <w:rPr>
          <w:rFonts w:eastAsiaTheme="minorEastAsia" w:hint="eastAsia"/>
          <w:kern w:val="0"/>
          <w:sz w:val="24"/>
        </w:rPr>
        <w:t>万元。预计本项目正常达产后可形成年均销售收入</w:t>
      </w:r>
      <w:r>
        <w:rPr>
          <w:rFonts w:eastAsiaTheme="minorEastAsia"/>
          <w:kern w:val="0"/>
          <w:sz w:val="24"/>
        </w:rPr>
        <w:t>32,245.00</w:t>
      </w:r>
      <w:r>
        <w:rPr>
          <w:rFonts w:eastAsiaTheme="minorEastAsia" w:hint="eastAsia"/>
          <w:kern w:val="0"/>
          <w:sz w:val="24"/>
        </w:rPr>
        <w:t>万元、利润总额</w:t>
      </w:r>
      <w:r>
        <w:rPr>
          <w:rFonts w:eastAsiaTheme="minorEastAsia"/>
          <w:kern w:val="0"/>
          <w:sz w:val="24"/>
        </w:rPr>
        <w:t>6,870.21</w:t>
      </w:r>
      <w:r>
        <w:rPr>
          <w:rFonts w:eastAsiaTheme="minorEastAsia" w:hint="eastAsia"/>
          <w:kern w:val="0"/>
          <w:sz w:val="24"/>
        </w:rPr>
        <w:t>万元，</w:t>
      </w:r>
      <w:r w:rsidR="00A04776">
        <w:rPr>
          <w:rFonts w:eastAsiaTheme="minorEastAsia" w:hint="eastAsia"/>
          <w:kern w:val="0"/>
          <w:sz w:val="24"/>
        </w:rPr>
        <w:t>项目投资内部收益率为</w:t>
      </w:r>
      <w:r w:rsidR="00525E8A">
        <w:rPr>
          <w:rFonts w:eastAsiaTheme="minorEastAsia" w:hint="eastAsia"/>
          <w:kern w:val="0"/>
          <w:sz w:val="24"/>
        </w:rPr>
        <w:t>2</w:t>
      </w:r>
      <w:r w:rsidR="00525E8A">
        <w:rPr>
          <w:rFonts w:eastAsiaTheme="minorEastAsia"/>
          <w:kern w:val="0"/>
          <w:sz w:val="24"/>
        </w:rPr>
        <w:t>0.13</w:t>
      </w:r>
      <w:r w:rsidR="00525E8A">
        <w:rPr>
          <w:rFonts w:eastAsiaTheme="minorEastAsia" w:hint="eastAsia"/>
          <w:kern w:val="0"/>
          <w:sz w:val="24"/>
        </w:rPr>
        <w:t>%</w:t>
      </w:r>
      <w:r w:rsidR="00A04776">
        <w:rPr>
          <w:rFonts w:eastAsiaTheme="minorEastAsia" w:hint="eastAsia"/>
          <w:kern w:val="0"/>
          <w:sz w:val="24"/>
        </w:rPr>
        <w:t>（税后），</w:t>
      </w:r>
      <w:r w:rsidR="00525E8A">
        <w:rPr>
          <w:rFonts w:eastAsiaTheme="minorEastAsia" w:hint="eastAsia"/>
          <w:kern w:val="0"/>
          <w:sz w:val="24"/>
        </w:rPr>
        <w:t>静态投资回收期为</w:t>
      </w:r>
      <w:r w:rsidR="00525E8A">
        <w:rPr>
          <w:rFonts w:eastAsiaTheme="minorEastAsia" w:hint="eastAsia"/>
          <w:kern w:val="0"/>
          <w:sz w:val="24"/>
        </w:rPr>
        <w:t>7</w:t>
      </w:r>
      <w:r w:rsidR="00525E8A">
        <w:rPr>
          <w:rFonts w:eastAsiaTheme="minorEastAsia"/>
          <w:kern w:val="0"/>
          <w:sz w:val="24"/>
        </w:rPr>
        <w:t>.60</w:t>
      </w:r>
      <w:r w:rsidR="00525E8A">
        <w:rPr>
          <w:rFonts w:eastAsiaTheme="minorEastAsia" w:hint="eastAsia"/>
          <w:kern w:val="0"/>
          <w:sz w:val="24"/>
        </w:rPr>
        <w:t>年（税后，含建设期），</w:t>
      </w:r>
      <w:r>
        <w:rPr>
          <w:rFonts w:eastAsiaTheme="minorEastAsia" w:hint="eastAsia"/>
          <w:kern w:val="0"/>
          <w:sz w:val="24"/>
        </w:rPr>
        <w:t>预期经济效益良好。</w:t>
      </w:r>
    </w:p>
    <w:p w14:paraId="2E42517F" w14:textId="77777777" w:rsidR="00D26039" w:rsidRDefault="00B30650">
      <w:pPr>
        <w:spacing w:beforeLines="50" w:before="156" w:afterLines="50" w:after="156" w:line="360" w:lineRule="auto"/>
        <w:ind w:firstLineChars="200" w:firstLine="482"/>
        <w:rPr>
          <w:rFonts w:ascii="宋体" w:hAnsi="宋体"/>
          <w:b/>
          <w:sz w:val="24"/>
        </w:rPr>
      </w:pPr>
      <w:r>
        <w:rPr>
          <w:b/>
          <w:sz w:val="24"/>
        </w:rPr>
        <w:t>7</w:t>
      </w:r>
      <w:r>
        <w:rPr>
          <w:rFonts w:ascii="宋体" w:hAnsi="宋体" w:hint="eastAsia"/>
          <w:b/>
          <w:sz w:val="24"/>
        </w:rPr>
        <w:t>、项目报批情况</w:t>
      </w:r>
    </w:p>
    <w:p w14:paraId="413D45C3"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本项目已取得了铜陵经济技术开发区经济发展局出具的《铜陵经开区经济发展局项目备案表》（项目代码：</w:t>
      </w:r>
      <w:r>
        <w:rPr>
          <w:rFonts w:eastAsiaTheme="minorEastAsia" w:hint="eastAsia"/>
          <w:kern w:val="0"/>
          <w:sz w:val="24"/>
        </w:rPr>
        <w:t>2</w:t>
      </w:r>
      <w:r>
        <w:rPr>
          <w:rFonts w:eastAsiaTheme="minorEastAsia"/>
          <w:kern w:val="0"/>
          <w:sz w:val="24"/>
        </w:rPr>
        <w:t>107</w:t>
      </w:r>
      <w:r>
        <w:rPr>
          <w:rFonts w:asciiTheme="minorEastAsia" w:eastAsiaTheme="minorEastAsia" w:hAnsiTheme="minorEastAsia"/>
          <w:kern w:val="0"/>
          <w:sz w:val="24"/>
        </w:rPr>
        <w:t>-</w:t>
      </w:r>
      <w:r>
        <w:rPr>
          <w:rFonts w:eastAsiaTheme="minorEastAsia"/>
          <w:kern w:val="0"/>
          <w:sz w:val="24"/>
        </w:rPr>
        <w:t>340760</w:t>
      </w:r>
      <w:r>
        <w:rPr>
          <w:rFonts w:asciiTheme="minorEastAsia" w:eastAsiaTheme="minorEastAsia" w:hAnsiTheme="minorEastAsia"/>
          <w:kern w:val="0"/>
          <w:sz w:val="24"/>
        </w:rPr>
        <w:t>-</w:t>
      </w:r>
      <w:r>
        <w:rPr>
          <w:rFonts w:eastAsiaTheme="minorEastAsia"/>
          <w:kern w:val="0"/>
          <w:sz w:val="24"/>
        </w:rPr>
        <w:t>04</w:t>
      </w:r>
      <w:r>
        <w:rPr>
          <w:rFonts w:asciiTheme="minorEastAsia" w:eastAsiaTheme="minorEastAsia" w:hAnsiTheme="minorEastAsia"/>
          <w:kern w:val="0"/>
          <w:sz w:val="24"/>
        </w:rPr>
        <w:t>-</w:t>
      </w:r>
      <w:r>
        <w:rPr>
          <w:rFonts w:eastAsiaTheme="minorEastAsia"/>
          <w:kern w:val="0"/>
          <w:sz w:val="24"/>
        </w:rPr>
        <w:t>02</w:t>
      </w:r>
      <w:r>
        <w:rPr>
          <w:rFonts w:asciiTheme="minorEastAsia" w:eastAsiaTheme="minorEastAsia" w:hAnsiTheme="minorEastAsia"/>
          <w:kern w:val="0"/>
          <w:sz w:val="24"/>
        </w:rPr>
        <w:t>-</w:t>
      </w:r>
      <w:r>
        <w:rPr>
          <w:rFonts w:eastAsiaTheme="minorEastAsia"/>
          <w:kern w:val="0"/>
          <w:sz w:val="24"/>
        </w:rPr>
        <w:t>793012</w:t>
      </w:r>
      <w:r>
        <w:rPr>
          <w:rFonts w:asciiTheme="minorEastAsia" w:eastAsiaTheme="minorEastAsia" w:hAnsiTheme="minorEastAsia" w:hint="eastAsia"/>
          <w:kern w:val="0"/>
          <w:sz w:val="24"/>
        </w:rPr>
        <w:t>号）和铜陵经济技术开发区安全生产与生态环境局出具的《关于安徽铜峰电子股份有限公司新能源用超薄型薄膜材料项目环境影响报告表的批复》（安环[</w:t>
      </w:r>
      <w:r>
        <w:rPr>
          <w:rFonts w:eastAsiaTheme="minorEastAsia" w:hint="eastAsia"/>
          <w:kern w:val="0"/>
          <w:sz w:val="24"/>
        </w:rPr>
        <w:t>202</w:t>
      </w:r>
      <w:r>
        <w:rPr>
          <w:rFonts w:eastAsiaTheme="minorEastAsia"/>
          <w:kern w:val="0"/>
          <w:sz w:val="24"/>
        </w:rPr>
        <w:t>2</w:t>
      </w:r>
      <w:r>
        <w:rPr>
          <w:rFonts w:asciiTheme="minorEastAsia" w:eastAsiaTheme="minorEastAsia" w:hAnsiTheme="minorEastAsia" w:hint="eastAsia"/>
          <w:kern w:val="0"/>
          <w:sz w:val="24"/>
        </w:rPr>
        <w:t>]</w:t>
      </w:r>
      <w:r>
        <w:rPr>
          <w:rFonts w:eastAsiaTheme="minorEastAsia" w:hint="eastAsia"/>
          <w:kern w:val="0"/>
          <w:sz w:val="24"/>
        </w:rPr>
        <w:t>7</w:t>
      </w:r>
      <w:r>
        <w:rPr>
          <w:rFonts w:asciiTheme="minorEastAsia" w:eastAsiaTheme="minorEastAsia" w:hAnsiTheme="minorEastAsia" w:hint="eastAsia"/>
          <w:kern w:val="0"/>
          <w:sz w:val="24"/>
        </w:rPr>
        <w:t>号）。</w:t>
      </w:r>
    </w:p>
    <w:p w14:paraId="66AA0E66"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（二）补充流动资金</w:t>
      </w:r>
    </w:p>
    <w:p w14:paraId="24F7409D" w14:textId="77777777" w:rsidR="00D26039" w:rsidRDefault="00B30650">
      <w:pPr>
        <w:spacing w:beforeLines="50" w:before="156" w:afterLines="50" w:after="156" w:line="360" w:lineRule="auto"/>
        <w:ind w:firstLineChars="200" w:firstLine="482"/>
        <w:rPr>
          <w:rFonts w:ascii="宋体" w:hAnsi="宋体"/>
          <w:b/>
          <w:sz w:val="24"/>
        </w:rPr>
      </w:pPr>
      <w:r>
        <w:rPr>
          <w:b/>
          <w:sz w:val="24"/>
        </w:rPr>
        <w:t>1</w:t>
      </w:r>
      <w:r>
        <w:rPr>
          <w:rFonts w:ascii="宋体" w:hAnsi="宋体" w:hint="eastAsia"/>
          <w:b/>
          <w:sz w:val="24"/>
        </w:rPr>
        <w:t>、项目概况</w:t>
      </w:r>
    </w:p>
    <w:p w14:paraId="3C768D8B"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本次拟使用募集资金</w:t>
      </w:r>
      <w:r>
        <w:rPr>
          <w:rFonts w:asciiTheme="minorEastAsia" w:eastAsiaTheme="minorEastAsia" w:hAnsiTheme="minorEastAsia"/>
          <w:kern w:val="0"/>
          <w:sz w:val="24"/>
        </w:rPr>
        <w:t>12,000.00</w:t>
      </w:r>
      <w:r>
        <w:rPr>
          <w:rFonts w:asciiTheme="minorEastAsia" w:eastAsiaTheme="minorEastAsia" w:hAnsiTheme="minorEastAsia" w:hint="eastAsia"/>
          <w:kern w:val="0"/>
          <w:sz w:val="24"/>
        </w:rPr>
        <w:t>万元补充流动资金，以补充公司正常经营所需的流动资金，降低公司资产负债率和财务费用，增强抗风险能力。</w:t>
      </w:r>
    </w:p>
    <w:p w14:paraId="2B20E46A" w14:textId="77777777" w:rsidR="00D26039" w:rsidRDefault="00B30650">
      <w:pPr>
        <w:spacing w:beforeLines="50" w:before="156" w:afterLines="50" w:after="156" w:line="360" w:lineRule="auto"/>
        <w:ind w:firstLineChars="200" w:firstLine="482"/>
        <w:rPr>
          <w:rFonts w:ascii="宋体" w:hAnsi="宋体"/>
          <w:b/>
          <w:sz w:val="24"/>
        </w:rPr>
      </w:pPr>
      <w:r>
        <w:rPr>
          <w:b/>
          <w:sz w:val="24"/>
        </w:rPr>
        <w:t>2</w:t>
      </w:r>
      <w:r>
        <w:rPr>
          <w:rFonts w:ascii="宋体" w:hAnsi="宋体" w:hint="eastAsia"/>
          <w:b/>
          <w:sz w:val="24"/>
        </w:rPr>
        <w:t>、项目实施的必要性分析</w:t>
      </w:r>
    </w:p>
    <w:p w14:paraId="27E784F6" w14:textId="77777777"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t>（</w:t>
      </w:r>
      <w:r>
        <w:rPr>
          <w:rFonts w:hint="eastAsia"/>
          <w:b/>
          <w:sz w:val="24"/>
        </w:rPr>
        <w:t>1</w:t>
      </w:r>
      <w:r>
        <w:rPr>
          <w:rFonts w:ascii="宋体" w:hAnsi="宋体" w:hint="eastAsia"/>
          <w:b/>
          <w:sz w:val="24"/>
        </w:rPr>
        <w:t>）公司经营规模持续扩大，对营运资金需求不断增加</w:t>
      </w:r>
    </w:p>
    <w:p w14:paraId="77E48BA9" w14:textId="0D0C72A4"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公司长期从事薄膜电容器及其薄膜材料等产品的研发、生产制造与销售，近年来，公司营业收入不断增加，公司</w:t>
      </w:r>
      <w:r>
        <w:rPr>
          <w:rFonts w:eastAsiaTheme="minorEastAsia" w:hint="eastAsia"/>
          <w:kern w:val="0"/>
          <w:sz w:val="24"/>
        </w:rPr>
        <w:t>2019</w:t>
      </w:r>
      <w:r>
        <w:rPr>
          <w:rFonts w:asciiTheme="minorEastAsia" w:eastAsiaTheme="minorEastAsia" w:hAnsiTheme="minorEastAsia" w:hint="eastAsia"/>
          <w:kern w:val="0"/>
          <w:sz w:val="24"/>
        </w:rPr>
        <w:t>至</w:t>
      </w:r>
      <w:r>
        <w:rPr>
          <w:rFonts w:eastAsiaTheme="minorEastAsia" w:hint="eastAsia"/>
          <w:kern w:val="0"/>
          <w:sz w:val="24"/>
        </w:rPr>
        <w:t>2021</w:t>
      </w:r>
      <w:r>
        <w:rPr>
          <w:rFonts w:asciiTheme="minorEastAsia" w:eastAsiaTheme="minorEastAsia" w:hAnsiTheme="minorEastAsia" w:hint="eastAsia"/>
          <w:kern w:val="0"/>
          <w:sz w:val="24"/>
        </w:rPr>
        <w:t>年度营业收入复合增长率为</w:t>
      </w:r>
      <w:r>
        <w:rPr>
          <w:rFonts w:eastAsiaTheme="minorEastAsia"/>
          <w:kern w:val="0"/>
          <w:sz w:val="24"/>
        </w:rPr>
        <w:t>10</w:t>
      </w:r>
      <w:r>
        <w:rPr>
          <w:rFonts w:asciiTheme="minorEastAsia" w:eastAsiaTheme="minorEastAsia" w:hAnsiTheme="minorEastAsia"/>
          <w:kern w:val="0"/>
          <w:sz w:val="24"/>
        </w:rPr>
        <w:t>.</w:t>
      </w:r>
      <w:r>
        <w:rPr>
          <w:rFonts w:eastAsiaTheme="minorEastAsia"/>
          <w:kern w:val="0"/>
          <w:sz w:val="24"/>
        </w:rPr>
        <w:t>30</w:t>
      </w:r>
      <w:r>
        <w:rPr>
          <w:rFonts w:asciiTheme="minorEastAsia" w:eastAsiaTheme="minorEastAsia" w:hAnsiTheme="minorEastAsia" w:hint="eastAsia"/>
          <w:kern w:val="0"/>
          <w:sz w:val="24"/>
        </w:rPr>
        <w:t>%，业务规模呈上升趋势</w:t>
      </w:r>
      <w:r w:rsidR="00D21619">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资产规模迅速提升，营运资金投入量较大，需要较多资金保障上游供应稳定以避免业务发展受到限制，充实公司自有资金实力来满足日益增长的业务需求。</w:t>
      </w:r>
    </w:p>
    <w:p w14:paraId="15CEB860" w14:textId="77777777"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t>（</w:t>
      </w:r>
      <w:r>
        <w:rPr>
          <w:b/>
          <w:sz w:val="24"/>
        </w:rPr>
        <w:t>2</w:t>
      </w:r>
      <w:r>
        <w:rPr>
          <w:rFonts w:ascii="宋体" w:hAnsi="宋体" w:hint="eastAsia"/>
          <w:b/>
          <w:sz w:val="24"/>
        </w:rPr>
        <w:t>）优化资本结构、降低财务费用，</w:t>
      </w:r>
      <w:r>
        <w:rPr>
          <w:rFonts w:ascii="宋体" w:hAnsi="宋体"/>
          <w:b/>
          <w:sz w:val="24"/>
        </w:rPr>
        <w:t xml:space="preserve">提高公司抗风险能力的需要 </w:t>
      </w:r>
    </w:p>
    <w:p w14:paraId="3683F698" w14:textId="371CC481"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目前</w:t>
      </w:r>
      <w:r>
        <w:rPr>
          <w:rFonts w:asciiTheme="minorEastAsia" w:eastAsiaTheme="minorEastAsia" w:hAnsiTheme="minorEastAsia" w:hint="eastAsia"/>
          <w:kern w:val="0"/>
          <w:sz w:val="24"/>
        </w:rPr>
        <w:t>，</w:t>
      </w:r>
      <w:r>
        <w:rPr>
          <w:rFonts w:asciiTheme="minorEastAsia" w:eastAsiaTheme="minorEastAsia" w:hAnsiTheme="minorEastAsia"/>
          <w:kern w:val="0"/>
          <w:sz w:val="24"/>
        </w:rPr>
        <w:t>企业</w:t>
      </w:r>
      <w:r>
        <w:rPr>
          <w:rFonts w:asciiTheme="minorEastAsia" w:eastAsiaTheme="minorEastAsia" w:hAnsiTheme="minorEastAsia" w:hint="eastAsia"/>
          <w:kern w:val="0"/>
          <w:sz w:val="24"/>
        </w:rPr>
        <w:t>普遍</w:t>
      </w:r>
      <w:r>
        <w:rPr>
          <w:rFonts w:asciiTheme="minorEastAsia" w:eastAsiaTheme="minorEastAsia" w:hAnsiTheme="minorEastAsia"/>
          <w:kern w:val="0"/>
          <w:sz w:val="24"/>
        </w:rPr>
        <w:t>面临</w:t>
      </w:r>
      <w:r>
        <w:rPr>
          <w:rFonts w:asciiTheme="minorEastAsia" w:eastAsiaTheme="minorEastAsia" w:hAnsiTheme="minorEastAsia" w:hint="eastAsia"/>
          <w:kern w:val="0"/>
          <w:sz w:val="24"/>
        </w:rPr>
        <w:t>着</w:t>
      </w:r>
      <w:r>
        <w:rPr>
          <w:rFonts w:asciiTheme="minorEastAsia" w:eastAsiaTheme="minorEastAsia" w:hAnsiTheme="minorEastAsia"/>
          <w:kern w:val="0"/>
          <w:sz w:val="24"/>
        </w:rPr>
        <w:t>宏观经济波动、</w:t>
      </w:r>
      <w:r>
        <w:rPr>
          <w:rFonts w:asciiTheme="minorEastAsia" w:eastAsiaTheme="minorEastAsia" w:hAnsiTheme="minorEastAsia" w:hint="eastAsia"/>
          <w:kern w:val="0"/>
          <w:sz w:val="24"/>
        </w:rPr>
        <w:t>疫情</w:t>
      </w:r>
      <w:r>
        <w:rPr>
          <w:rFonts w:asciiTheme="minorEastAsia" w:eastAsiaTheme="minorEastAsia" w:hAnsiTheme="minorEastAsia"/>
          <w:kern w:val="0"/>
          <w:sz w:val="24"/>
        </w:rPr>
        <w:t>等</w:t>
      </w:r>
      <w:r>
        <w:rPr>
          <w:rFonts w:asciiTheme="minorEastAsia" w:eastAsiaTheme="minorEastAsia" w:hAnsiTheme="minorEastAsia" w:hint="eastAsia"/>
          <w:kern w:val="0"/>
          <w:sz w:val="24"/>
        </w:rPr>
        <w:t>不确定</w:t>
      </w:r>
      <w:r>
        <w:rPr>
          <w:rFonts w:asciiTheme="minorEastAsia" w:eastAsiaTheme="minorEastAsia" w:hAnsiTheme="minorEastAsia"/>
          <w:kern w:val="0"/>
          <w:sz w:val="24"/>
        </w:rPr>
        <w:t>性风险因素。当风险给公司生产经营带来不利影响时，保持一定水平的流动资金可以提高公司抗风险能力。而在市场环境较为有利时，有助于公司抢占市场先机，避免因资金短缺而失去发展机会。本次非公开发行募集资金用于补充流动资金，</w:t>
      </w:r>
      <w:r>
        <w:rPr>
          <w:rFonts w:asciiTheme="minorEastAsia" w:eastAsiaTheme="minorEastAsia" w:hAnsiTheme="minorEastAsia" w:hint="eastAsia"/>
          <w:kern w:val="0"/>
          <w:sz w:val="24"/>
        </w:rPr>
        <w:t>可以降低公司资产负债率，提高偿债能力，进一步增强公司资本实力和抗风险能力，</w:t>
      </w:r>
      <w:r>
        <w:rPr>
          <w:rFonts w:asciiTheme="minorEastAsia" w:eastAsiaTheme="minorEastAsia" w:hAnsiTheme="minorEastAsia"/>
          <w:kern w:val="0"/>
          <w:sz w:val="24"/>
        </w:rPr>
        <w:t>实现公司健康可持续发展。</w:t>
      </w:r>
    </w:p>
    <w:p w14:paraId="7F97F623" w14:textId="6281FDCB"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t>（</w:t>
      </w:r>
      <w:r>
        <w:rPr>
          <w:b/>
          <w:sz w:val="24"/>
        </w:rPr>
        <w:t>3</w:t>
      </w:r>
      <w:r>
        <w:rPr>
          <w:rFonts w:ascii="宋体" w:hAnsi="宋体" w:hint="eastAsia"/>
          <w:b/>
          <w:sz w:val="24"/>
        </w:rPr>
        <w:t>）强化竞争优势，巩固行业</w:t>
      </w:r>
      <w:r w:rsidR="008440D5">
        <w:rPr>
          <w:rFonts w:ascii="宋体" w:hAnsi="宋体" w:hint="eastAsia"/>
          <w:b/>
          <w:sz w:val="24"/>
        </w:rPr>
        <w:t>地位</w:t>
      </w:r>
      <w:r w:rsidR="00590A45">
        <w:rPr>
          <w:rFonts w:ascii="宋体" w:hAnsi="宋体" w:hint="eastAsia"/>
          <w:b/>
          <w:sz w:val="24"/>
        </w:rPr>
        <w:t>的需要</w:t>
      </w:r>
    </w:p>
    <w:p w14:paraId="03CAA384"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本次发行的部分募集资金用于补充流动资金，将为公司人才引进、科技创新和技术研发等方面提供持续性的资金支持，有助于实现公司的长期战略发展目标，强化竞争优势，巩固行业竞争优势地位。</w:t>
      </w:r>
    </w:p>
    <w:p w14:paraId="0FEFA9BE" w14:textId="77777777" w:rsidR="00D26039" w:rsidRDefault="00B30650">
      <w:pPr>
        <w:spacing w:beforeLines="50" w:before="156" w:afterLines="50" w:after="156" w:line="360" w:lineRule="auto"/>
        <w:ind w:firstLineChars="200" w:firstLine="482"/>
        <w:rPr>
          <w:rFonts w:ascii="宋体" w:hAnsi="宋体"/>
          <w:b/>
          <w:sz w:val="24"/>
        </w:rPr>
      </w:pPr>
      <w:r>
        <w:rPr>
          <w:b/>
          <w:sz w:val="24"/>
        </w:rPr>
        <w:t>3</w:t>
      </w:r>
      <w:r>
        <w:rPr>
          <w:rFonts w:ascii="宋体" w:hAnsi="宋体" w:hint="eastAsia"/>
          <w:b/>
          <w:sz w:val="24"/>
        </w:rPr>
        <w:t>、项目实施的可行性分析</w:t>
      </w:r>
    </w:p>
    <w:p w14:paraId="784F86A2" w14:textId="77777777"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t>（</w:t>
      </w:r>
      <w:r>
        <w:rPr>
          <w:rFonts w:hint="eastAsia"/>
          <w:b/>
          <w:sz w:val="24"/>
        </w:rPr>
        <w:t>1</w:t>
      </w:r>
      <w:r>
        <w:rPr>
          <w:rFonts w:ascii="宋体" w:hAnsi="宋体" w:hint="eastAsia"/>
          <w:b/>
          <w:sz w:val="24"/>
        </w:rPr>
        <w:t>）本次非公开发行募集资金使用符合法律法规的规定</w:t>
      </w:r>
    </w:p>
    <w:p w14:paraId="1DECDFED"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公司本次非公开发行募集资金使用符合相关政策和法律法规，具有可行性。本次非公开发行募集资金到位后，公司净资产和营运资金将有所增加，有利于增强公司资本实力，促进公司在产业链上积极稳妥布局相关业务，提升公司盈利水平及市场竞争力，推动公司业务持续健康发展。</w:t>
      </w:r>
    </w:p>
    <w:p w14:paraId="2357504E" w14:textId="6DB51A87" w:rsidR="00D26039" w:rsidRDefault="00B30650">
      <w:pPr>
        <w:spacing w:beforeLines="50" w:before="156" w:afterLines="50" w:after="156" w:line="360" w:lineRule="auto"/>
        <w:ind w:firstLineChars="200" w:firstLine="482"/>
        <w:rPr>
          <w:rFonts w:ascii="宋体" w:hAnsi="宋体"/>
          <w:b/>
          <w:sz w:val="24"/>
        </w:rPr>
      </w:pPr>
      <w:r>
        <w:rPr>
          <w:rFonts w:ascii="宋体" w:hAnsi="宋体" w:hint="eastAsia"/>
          <w:b/>
          <w:sz w:val="24"/>
        </w:rPr>
        <w:t>（</w:t>
      </w:r>
      <w:r>
        <w:rPr>
          <w:rFonts w:hint="eastAsia"/>
          <w:b/>
          <w:sz w:val="24"/>
        </w:rPr>
        <w:t>2</w:t>
      </w:r>
      <w:r>
        <w:rPr>
          <w:rFonts w:ascii="宋体" w:hAnsi="宋体" w:hint="eastAsia"/>
          <w:b/>
          <w:sz w:val="24"/>
        </w:rPr>
        <w:t>）</w:t>
      </w:r>
      <w:r w:rsidR="00B84FC1">
        <w:rPr>
          <w:rFonts w:ascii="宋体" w:hAnsi="宋体" w:hint="eastAsia"/>
          <w:b/>
          <w:sz w:val="24"/>
        </w:rPr>
        <w:t>公司已建立确保募集资金合理规范使用的制度和体系</w:t>
      </w:r>
    </w:p>
    <w:p w14:paraId="67B08591"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公司已按照上市公司的治理标准建立了以法人治理结构为核心的现代企业制度，并通过不断改进和完善，形成了较为规范的公司治理体系和完善的内部控制环境。在募集资金管理方面，公司按照监管要求建立了募集资金管理制度，对</w:t>
      </w:r>
      <w:r>
        <w:rPr>
          <w:rFonts w:asciiTheme="minorEastAsia" w:eastAsiaTheme="minorEastAsia" w:hAnsiTheme="minorEastAsia" w:hint="eastAsia"/>
          <w:kern w:val="0"/>
          <w:sz w:val="24"/>
        </w:rPr>
        <w:lastRenderedPageBreak/>
        <w:t>募集资金的存储、使用、投向变更、检查与监督等进行了明确规定。本次非公开发行募集资金到位后，公司董事会将持续监督公司对募集资金的存储及使用，以保证募集资金合理规范使用，防范募集资金使用风险。</w:t>
      </w:r>
    </w:p>
    <w:p w14:paraId="7A010595" w14:textId="77777777" w:rsidR="00D26039" w:rsidRDefault="00B30650">
      <w:pPr>
        <w:pStyle w:val="2"/>
        <w:autoSpaceDE w:val="0"/>
        <w:spacing w:beforeLines="50" w:before="156" w:afterLines="50" w:after="156" w:line="360" w:lineRule="auto"/>
        <w:rPr>
          <w:rFonts w:ascii="Times New Roman" w:hAnsi="Times New Roman"/>
          <w:szCs w:val="28"/>
        </w:rPr>
      </w:pPr>
      <w:bookmarkStart w:id="70" w:name="_Toc111905420"/>
      <w:bookmarkStart w:id="71" w:name="_Toc512526902"/>
      <w:r>
        <w:rPr>
          <w:rFonts w:ascii="Times New Roman" w:hAnsi="Times New Roman"/>
          <w:szCs w:val="28"/>
        </w:rPr>
        <w:t>三、</w:t>
      </w:r>
      <w:bookmarkEnd w:id="67"/>
      <w:r>
        <w:rPr>
          <w:rFonts w:ascii="Times New Roman" w:hAnsi="Times New Roman"/>
          <w:szCs w:val="28"/>
        </w:rPr>
        <w:t>本次募集资金运用对公司经营管理和财务状况的影响</w:t>
      </w:r>
      <w:bookmarkEnd w:id="70"/>
      <w:bookmarkEnd w:id="71"/>
    </w:p>
    <w:p w14:paraId="14401347" w14:textId="77777777" w:rsidR="00D26039" w:rsidRDefault="00B30650">
      <w:pPr>
        <w:autoSpaceDE w:val="0"/>
        <w:spacing w:beforeLines="50" w:before="156" w:afterLines="50" w:after="156" w:line="360" w:lineRule="auto"/>
        <w:ind w:firstLineChars="200" w:firstLine="482"/>
        <w:rPr>
          <w:rFonts w:eastAsia="黑体"/>
          <w:b/>
          <w:bCs/>
          <w:kern w:val="0"/>
          <w:sz w:val="24"/>
        </w:rPr>
      </w:pPr>
      <w:bookmarkStart w:id="72" w:name="_Toc275608375"/>
      <w:r>
        <w:rPr>
          <w:rFonts w:eastAsia="黑体"/>
          <w:b/>
          <w:bCs/>
          <w:kern w:val="0"/>
          <w:sz w:val="24"/>
        </w:rPr>
        <w:t>（一）本次非公开发行对公司经营管理的影响</w:t>
      </w:r>
    </w:p>
    <w:p w14:paraId="79303EDD" w14:textId="679BE434"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本次发行募集资金投资项目围绕公司主营业务开展，符合国家产业政策、市场发展趋势以及公司未来战略发展方向。本次募集资金投资项目具有良好的经济效益，</w:t>
      </w:r>
      <w:proofErr w:type="gramStart"/>
      <w:r>
        <w:rPr>
          <w:rFonts w:asciiTheme="minorEastAsia" w:eastAsiaTheme="minorEastAsia" w:hAnsiTheme="minorEastAsia" w:hint="eastAsia"/>
          <w:kern w:val="0"/>
          <w:sz w:val="24"/>
        </w:rPr>
        <w:t>募投项目</w:t>
      </w:r>
      <w:proofErr w:type="gramEnd"/>
      <w:r>
        <w:rPr>
          <w:rFonts w:asciiTheme="minorEastAsia" w:eastAsiaTheme="minorEastAsia" w:hAnsiTheme="minorEastAsia" w:hint="eastAsia"/>
          <w:kern w:val="0"/>
          <w:sz w:val="24"/>
        </w:rPr>
        <w:t>建成投产后，有利于扩大公司产能，</w:t>
      </w:r>
      <w:r w:rsidR="000E4715">
        <w:rPr>
          <w:rFonts w:ascii="宋体" w:hAnsi="宋体" w:hint="eastAsia"/>
          <w:kern w:val="0"/>
          <w:sz w:val="24"/>
        </w:rPr>
        <w:t>促进公司产品结构升级，</w:t>
      </w:r>
      <w:r>
        <w:rPr>
          <w:rFonts w:asciiTheme="minorEastAsia" w:eastAsiaTheme="minorEastAsia" w:hAnsiTheme="minorEastAsia" w:hint="eastAsia"/>
          <w:kern w:val="0"/>
          <w:sz w:val="24"/>
        </w:rPr>
        <w:t>将有效提高公司的盈利能力及市场占有率，进一步增强公司的核心竞争力，推动公司的可持续发展，维护股东的长远利益。</w:t>
      </w:r>
    </w:p>
    <w:p w14:paraId="4AE8ADB4"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本次发行的部分募集资金将用于补充流动资金，公司的资本实力与资产规模将得到提升，抗风险能力得到增强，有助于提高公司综合竞争力和市场地位，促进公司的长期可持续发展。</w:t>
      </w:r>
    </w:p>
    <w:p w14:paraId="5B5CB153"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（二）本次非公开发行对公司财务状况的影响</w:t>
      </w:r>
    </w:p>
    <w:p w14:paraId="0E0B9C51" w14:textId="1F5C726B"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本次发行完成后，公司的总资产和净资产规模相应增加，资产负债率进一步降低，资金实力得到有效增强，有助于公司提高偿债能力、节省财务成本、降低财务风险，进一步改善资本结构。随着</w:t>
      </w:r>
      <w:proofErr w:type="gramStart"/>
      <w:r>
        <w:rPr>
          <w:rFonts w:asciiTheme="minorEastAsia" w:eastAsiaTheme="minorEastAsia" w:hAnsiTheme="minorEastAsia" w:hint="eastAsia"/>
          <w:kern w:val="0"/>
          <w:sz w:val="24"/>
        </w:rPr>
        <w:t>募投项目</w:t>
      </w:r>
      <w:proofErr w:type="gramEnd"/>
      <w:r>
        <w:rPr>
          <w:rFonts w:asciiTheme="minorEastAsia" w:eastAsiaTheme="minorEastAsia" w:hAnsiTheme="minorEastAsia" w:hint="eastAsia"/>
          <w:kern w:val="0"/>
          <w:sz w:val="24"/>
        </w:rPr>
        <w:t>的</w:t>
      </w:r>
      <w:r w:rsidR="00F6487A">
        <w:rPr>
          <w:rFonts w:asciiTheme="minorEastAsia" w:eastAsiaTheme="minorEastAsia" w:hAnsiTheme="minorEastAsia" w:hint="eastAsia"/>
          <w:kern w:val="0"/>
          <w:sz w:val="24"/>
        </w:rPr>
        <w:t>实施</w:t>
      </w:r>
      <w:r>
        <w:rPr>
          <w:rFonts w:asciiTheme="minorEastAsia" w:eastAsiaTheme="minorEastAsia" w:hAnsiTheme="minorEastAsia" w:hint="eastAsia"/>
          <w:kern w:val="0"/>
          <w:sz w:val="24"/>
        </w:rPr>
        <w:t>，公司盈利能力进一步得到提升，发展潜力随之增强；部分募集资金用于补充流动资金，公司资本结构将得到进一步优化，整体实力和抗风险能力均将得到增强，持续经营能力将获得提升。本次发行完成后，由于募集资金投资项目需要一定的建设期，短期内公司净资产收益率将会受到一定影响，但从中长期来看，随着</w:t>
      </w:r>
      <w:proofErr w:type="gramStart"/>
      <w:r>
        <w:rPr>
          <w:rFonts w:asciiTheme="minorEastAsia" w:eastAsiaTheme="minorEastAsia" w:hAnsiTheme="minorEastAsia" w:hint="eastAsia"/>
          <w:kern w:val="0"/>
          <w:sz w:val="24"/>
        </w:rPr>
        <w:t>募投项目</w:t>
      </w:r>
      <w:proofErr w:type="gramEnd"/>
      <w:r>
        <w:rPr>
          <w:rFonts w:asciiTheme="minorEastAsia" w:eastAsiaTheme="minorEastAsia" w:hAnsiTheme="minorEastAsia" w:hint="eastAsia"/>
          <w:kern w:val="0"/>
          <w:sz w:val="24"/>
        </w:rPr>
        <w:t>产能的释放，公司收入和利润水平将逐步上升，公司的盈利能力及盈利稳定性将不断增强。</w:t>
      </w:r>
    </w:p>
    <w:p w14:paraId="6E7876C3" w14:textId="77777777" w:rsidR="00D26039" w:rsidRDefault="00B30650">
      <w:pPr>
        <w:pStyle w:val="2"/>
        <w:autoSpaceDE w:val="0"/>
        <w:spacing w:beforeLines="50" w:before="156" w:afterLines="50" w:after="156" w:line="360" w:lineRule="auto"/>
        <w:rPr>
          <w:rFonts w:ascii="Times New Roman" w:hAnsi="Times New Roman"/>
          <w:szCs w:val="28"/>
        </w:rPr>
      </w:pPr>
      <w:bookmarkStart w:id="73" w:name="_Toc512526903"/>
      <w:bookmarkStart w:id="74" w:name="_Toc111905421"/>
      <w:r>
        <w:rPr>
          <w:rFonts w:ascii="Times New Roman" w:hAnsi="Times New Roman"/>
          <w:szCs w:val="28"/>
        </w:rPr>
        <w:t>四、募集资金投资项目</w:t>
      </w:r>
      <w:bookmarkEnd w:id="72"/>
      <w:bookmarkEnd w:id="73"/>
      <w:r>
        <w:rPr>
          <w:rFonts w:ascii="Times New Roman" w:hAnsi="Times New Roman" w:hint="eastAsia"/>
          <w:szCs w:val="28"/>
        </w:rPr>
        <w:t>可行性结论</w:t>
      </w:r>
      <w:bookmarkEnd w:id="74"/>
    </w:p>
    <w:p w14:paraId="1E70FE8B" w14:textId="77777777"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综上所述，本次非公开发行符合公司未来整体战略发展规划以及相关政策和法律法规，本次募集资金的到位和投入使用，可以进一步优化公司薄膜产品结构，巩固公司在新能源用薄膜行业的市场地位，强化竞争优势，提升公司盈利能力。</w:t>
      </w:r>
      <w:r>
        <w:rPr>
          <w:rFonts w:asciiTheme="minorEastAsia" w:eastAsiaTheme="minorEastAsia" w:hAnsiTheme="minorEastAsia" w:hint="eastAsia"/>
          <w:kern w:val="0"/>
          <w:sz w:val="24"/>
        </w:rPr>
        <w:lastRenderedPageBreak/>
        <w:t>有助于公司优化资本结构，降低资产负债率，降低财务风险，符合公司及全体股东的利益。</w:t>
      </w:r>
    </w:p>
    <w:p w14:paraId="36DAD207" w14:textId="77777777" w:rsidR="00D26039" w:rsidRDefault="00B30650">
      <w:pPr>
        <w:tabs>
          <w:tab w:val="left" w:pos="1440"/>
        </w:tabs>
        <w:autoSpaceDE w:val="0"/>
        <w:spacing w:beforeLines="50" w:before="156" w:afterLines="50" w:after="156" w:line="360" w:lineRule="auto"/>
        <w:ind w:firstLineChars="200" w:firstLine="480"/>
        <w:sectPr w:rsidR="00D26039">
          <w:headerReference w:type="default" r:id="rId13"/>
          <w:footerReference w:type="even" r:id="rId14"/>
          <w:footerReference w:type="default" r:id="rId15"/>
          <w:pgSz w:w="11906" w:h="16838"/>
          <w:pgMar w:top="1440" w:right="1800" w:bottom="1440" w:left="1800" w:header="851" w:footer="992" w:gutter="0"/>
          <w:cols w:space="425"/>
          <w:docGrid w:type="lines" w:linePitch="312"/>
        </w:sectPr>
      </w:pPr>
      <w:r>
        <w:rPr>
          <w:rFonts w:asciiTheme="minorEastAsia" w:eastAsiaTheme="minorEastAsia" w:hAnsiTheme="minorEastAsia" w:hint="eastAsia"/>
          <w:kern w:val="0"/>
          <w:sz w:val="24"/>
        </w:rPr>
        <w:t>经审慎分析论证，公司本次非公开发行的募集资金投向符合相关政策和法律法规，符合公司发展的需要，本次非公开发行募集资金是必要且可行的。</w:t>
      </w:r>
    </w:p>
    <w:p w14:paraId="03B827FE" w14:textId="77777777" w:rsidR="00D26039" w:rsidRDefault="00B30650">
      <w:pPr>
        <w:keepNext/>
        <w:keepLines/>
        <w:pageBreakBefore/>
        <w:spacing w:beforeLines="50" w:before="156" w:afterLines="50" w:after="156" w:line="360" w:lineRule="auto"/>
        <w:jc w:val="center"/>
        <w:outlineLvl w:val="0"/>
        <w:rPr>
          <w:rFonts w:eastAsia="黑体"/>
          <w:b/>
          <w:bCs/>
          <w:sz w:val="32"/>
          <w:szCs w:val="28"/>
        </w:rPr>
      </w:pPr>
      <w:bookmarkStart w:id="75" w:name="_Toc51156659"/>
      <w:bookmarkStart w:id="76" w:name="_Toc111905423"/>
      <w:r>
        <w:rPr>
          <w:rFonts w:eastAsia="黑体" w:hint="eastAsia"/>
          <w:b/>
          <w:bCs/>
          <w:sz w:val="32"/>
          <w:szCs w:val="28"/>
        </w:rPr>
        <w:lastRenderedPageBreak/>
        <w:t>第五节</w:t>
      </w:r>
      <w:r>
        <w:rPr>
          <w:rFonts w:eastAsia="黑体" w:hint="eastAsia"/>
          <w:b/>
          <w:bCs/>
          <w:sz w:val="32"/>
          <w:szCs w:val="28"/>
        </w:rPr>
        <w:t xml:space="preserve">  </w:t>
      </w:r>
      <w:r>
        <w:rPr>
          <w:rFonts w:eastAsia="黑体" w:hint="eastAsia"/>
          <w:b/>
          <w:bCs/>
          <w:sz w:val="32"/>
          <w:szCs w:val="28"/>
        </w:rPr>
        <w:t>董事会关于本次发行对公司影响的讨论与分析</w:t>
      </w:r>
      <w:bookmarkEnd w:id="75"/>
      <w:bookmarkEnd w:id="76"/>
    </w:p>
    <w:p w14:paraId="4AE2FFC2" w14:textId="77777777" w:rsidR="00D26039" w:rsidRDefault="00B30650">
      <w:pPr>
        <w:keepNext/>
        <w:keepLines/>
        <w:widowControl/>
        <w:spacing w:beforeLines="50" w:before="156" w:afterLines="50" w:after="156" w:line="360" w:lineRule="auto"/>
        <w:outlineLvl w:val="1"/>
        <w:rPr>
          <w:rFonts w:eastAsia="黑体"/>
          <w:b/>
          <w:bCs/>
          <w:sz w:val="28"/>
          <w:szCs w:val="28"/>
        </w:rPr>
      </w:pPr>
      <w:bookmarkStart w:id="77" w:name="_Toc51156660"/>
      <w:bookmarkStart w:id="78" w:name="_Toc111905424"/>
      <w:r>
        <w:rPr>
          <w:rFonts w:eastAsia="黑体" w:hint="eastAsia"/>
          <w:b/>
          <w:bCs/>
          <w:sz w:val="28"/>
          <w:szCs w:val="28"/>
        </w:rPr>
        <w:t>一、本次发行后公司业务及资产整合计划、公司章程、股东结构、高级管理人员结构、业务结构的变动情况</w:t>
      </w:r>
      <w:bookmarkEnd w:id="77"/>
      <w:bookmarkEnd w:id="78"/>
    </w:p>
    <w:p w14:paraId="017A9012"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（一）本次非公开发行后公司业务及资产整合计划</w:t>
      </w:r>
    </w:p>
    <w:p w14:paraId="55F5A6CE"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本次非公开发行完成后，公司主营业务保持不变，仍为薄膜电容器及其薄膜材料的研发、生产和销售，不会引起主营业务的重大变动。截至本预案出具之日，公司不存在因本次发行而导致的业务及资产整合计划。</w:t>
      </w:r>
    </w:p>
    <w:p w14:paraId="4C0D0361"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（二）本次非公开发行对公司章程的影响</w:t>
      </w:r>
    </w:p>
    <w:p w14:paraId="2A477DAD"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本次非公开发行完成后，公司股本结构和注册资本将发生变化，公司将根据实际发行结果引起的章程变动情况，履行《公司章程》修改的相关程序，对《公司章程》中的相关条款进行修改，并办理工商登记手续。</w:t>
      </w:r>
    </w:p>
    <w:p w14:paraId="13AD1CBC" w14:textId="77777777" w:rsidR="00D26039" w:rsidRDefault="00B30650">
      <w:pPr>
        <w:spacing w:beforeLines="50" w:before="156" w:afterLines="50" w:after="156" w:line="360" w:lineRule="auto"/>
        <w:ind w:firstLineChars="200" w:firstLine="482"/>
        <w:rPr>
          <w:rFonts w:ascii="黑体" w:eastAsia="黑体" w:hAnsi="黑体" w:cs="宋体"/>
          <w:b/>
          <w:color w:val="000000"/>
          <w:kern w:val="0"/>
          <w:sz w:val="24"/>
        </w:rPr>
      </w:pPr>
      <w:r>
        <w:rPr>
          <w:rFonts w:ascii="黑体" w:eastAsia="黑体" w:hAnsi="黑体" w:cs="宋体" w:hint="eastAsia"/>
          <w:b/>
          <w:color w:val="000000"/>
          <w:kern w:val="0"/>
          <w:sz w:val="24"/>
        </w:rPr>
        <w:t>（三）本次非公开发行对股东结构的影响</w:t>
      </w:r>
    </w:p>
    <w:p w14:paraId="73340553"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截至本预案出具之日，公司总股本为</w:t>
      </w:r>
      <w:r>
        <w:rPr>
          <w:rFonts w:cs="宋体"/>
          <w:color w:val="000000"/>
          <w:kern w:val="0"/>
          <w:sz w:val="24"/>
        </w:rPr>
        <w:t>564</w:t>
      </w:r>
      <w:r>
        <w:rPr>
          <w:rFonts w:ascii="宋体" w:hAnsi="宋体" w:cs="宋体"/>
          <w:color w:val="000000"/>
          <w:kern w:val="0"/>
          <w:sz w:val="24"/>
        </w:rPr>
        <w:t>,</w:t>
      </w:r>
      <w:r>
        <w:rPr>
          <w:rFonts w:cs="宋体"/>
          <w:color w:val="000000"/>
          <w:kern w:val="0"/>
          <w:sz w:val="24"/>
        </w:rPr>
        <w:t>369</w:t>
      </w:r>
      <w:r>
        <w:rPr>
          <w:rFonts w:ascii="宋体" w:hAnsi="宋体" w:cs="宋体"/>
          <w:color w:val="000000"/>
          <w:kern w:val="0"/>
          <w:sz w:val="24"/>
        </w:rPr>
        <w:t>,</w:t>
      </w:r>
      <w:r>
        <w:rPr>
          <w:rFonts w:cs="宋体"/>
          <w:color w:val="000000"/>
          <w:kern w:val="0"/>
          <w:sz w:val="24"/>
        </w:rPr>
        <w:t>565</w:t>
      </w:r>
      <w:r>
        <w:rPr>
          <w:rFonts w:ascii="宋体" w:hAnsi="宋体" w:cs="宋体"/>
          <w:color w:val="000000"/>
          <w:kern w:val="0"/>
          <w:sz w:val="24"/>
        </w:rPr>
        <w:t>股，其中，</w:t>
      </w:r>
      <w:r>
        <w:rPr>
          <w:rFonts w:ascii="宋体" w:hAnsi="宋体" w:cs="宋体" w:hint="eastAsia"/>
          <w:color w:val="000000"/>
          <w:kern w:val="0"/>
          <w:sz w:val="24"/>
        </w:rPr>
        <w:t>大江投资</w:t>
      </w:r>
      <w:r>
        <w:rPr>
          <w:rFonts w:ascii="宋体" w:hAnsi="宋体" w:cs="宋体"/>
          <w:color w:val="000000"/>
          <w:kern w:val="0"/>
          <w:sz w:val="24"/>
        </w:rPr>
        <w:t>直接持有公司</w:t>
      </w:r>
      <w:r>
        <w:rPr>
          <w:rFonts w:cs="宋体"/>
          <w:color w:val="000000"/>
          <w:kern w:val="0"/>
          <w:sz w:val="24"/>
        </w:rPr>
        <w:t>19</w:t>
      </w:r>
      <w:r>
        <w:rPr>
          <w:rFonts w:ascii="宋体" w:hAnsi="宋体" w:cs="宋体"/>
          <w:color w:val="000000"/>
          <w:kern w:val="0"/>
          <w:sz w:val="24"/>
        </w:rPr>
        <w:t>.</w:t>
      </w:r>
      <w:r>
        <w:rPr>
          <w:rFonts w:cs="宋体"/>
          <w:color w:val="000000"/>
          <w:kern w:val="0"/>
          <w:sz w:val="24"/>
        </w:rPr>
        <w:t>79</w:t>
      </w:r>
      <w:r>
        <w:rPr>
          <w:rFonts w:ascii="宋体" w:hAnsi="宋体" w:cs="宋体"/>
          <w:color w:val="000000"/>
          <w:kern w:val="0"/>
          <w:sz w:val="24"/>
        </w:rPr>
        <w:t>%的股份</w:t>
      </w:r>
      <w:r>
        <w:rPr>
          <w:rFonts w:ascii="宋体" w:hAnsi="宋体" w:cs="宋体" w:hint="eastAsia"/>
          <w:color w:val="000000"/>
          <w:kern w:val="0"/>
          <w:sz w:val="24"/>
        </w:rPr>
        <w:t>，为公司的控股股东。铜陵经济技术开发区管理委员会直接持有大江投资</w:t>
      </w:r>
      <w:r>
        <w:rPr>
          <w:rFonts w:cs="宋体" w:hint="eastAsia"/>
          <w:color w:val="000000"/>
          <w:kern w:val="0"/>
          <w:sz w:val="24"/>
        </w:rPr>
        <w:t>1</w:t>
      </w:r>
      <w:r>
        <w:rPr>
          <w:rFonts w:cs="宋体"/>
          <w:color w:val="000000"/>
          <w:kern w:val="0"/>
          <w:sz w:val="24"/>
        </w:rPr>
        <w:t>00</w:t>
      </w:r>
      <w:r>
        <w:rPr>
          <w:rFonts w:ascii="宋体" w:hAnsi="宋体" w:cs="宋体"/>
          <w:color w:val="000000"/>
          <w:kern w:val="0"/>
          <w:sz w:val="24"/>
        </w:rPr>
        <w:t>.</w:t>
      </w:r>
      <w:r>
        <w:rPr>
          <w:rFonts w:cs="宋体"/>
          <w:color w:val="000000"/>
          <w:kern w:val="0"/>
          <w:sz w:val="24"/>
        </w:rPr>
        <w:t>00</w:t>
      </w:r>
      <w:r>
        <w:rPr>
          <w:rFonts w:ascii="宋体" w:hAnsi="宋体" w:cs="宋体"/>
          <w:color w:val="000000"/>
          <w:kern w:val="0"/>
          <w:sz w:val="24"/>
        </w:rPr>
        <w:t>%</w:t>
      </w:r>
      <w:r>
        <w:rPr>
          <w:rFonts w:ascii="宋体" w:hAnsi="宋体" w:cs="宋体" w:hint="eastAsia"/>
          <w:color w:val="000000"/>
          <w:kern w:val="0"/>
          <w:sz w:val="24"/>
        </w:rPr>
        <w:t>的股份，为公司的实际控制人。</w:t>
      </w:r>
    </w:p>
    <w:p w14:paraId="2DBD47BA"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大江投资拟认购股份总数不低于本次非公开发行总股数的</w:t>
      </w:r>
      <w:r>
        <w:rPr>
          <w:rFonts w:cs="宋体" w:hint="eastAsia"/>
          <w:color w:val="000000"/>
          <w:kern w:val="0"/>
          <w:sz w:val="24"/>
        </w:rPr>
        <w:t>20</w:t>
      </w:r>
      <w:r>
        <w:rPr>
          <w:rFonts w:ascii="宋体" w:hAnsi="宋体" w:cs="宋体" w:hint="eastAsia"/>
          <w:color w:val="000000"/>
          <w:kern w:val="0"/>
          <w:sz w:val="24"/>
        </w:rPr>
        <w:t>%（含本数），且本次发行完成后持股比例不超过公司总股本的</w:t>
      </w:r>
      <w:r>
        <w:rPr>
          <w:rFonts w:cs="宋体" w:hint="eastAsia"/>
          <w:color w:val="000000"/>
          <w:kern w:val="0"/>
          <w:sz w:val="24"/>
        </w:rPr>
        <w:t>30</w:t>
      </w:r>
      <w:r>
        <w:rPr>
          <w:rFonts w:ascii="宋体" w:hAnsi="宋体" w:cs="宋体" w:hint="eastAsia"/>
          <w:color w:val="000000"/>
          <w:kern w:val="0"/>
          <w:sz w:val="24"/>
        </w:rPr>
        <w:t>%，假设本次非公开发行股票的实际发行数量为本次发行的上限</w:t>
      </w:r>
      <w:r>
        <w:rPr>
          <w:rFonts w:cs="宋体"/>
          <w:color w:val="000000"/>
          <w:kern w:val="0"/>
          <w:sz w:val="24"/>
        </w:rPr>
        <w:t>169</w:t>
      </w:r>
      <w:r>
        <w:rPr>
          <w:rFonts w:ascii="宋体" w:hAnsi="宋体" w:cs="宋体"/>
          <w:color w:val="000000"/>
          <w:kern w:val="0"/>
          <w:sz w:val="24"/>
        </w:rPr>
        <w:t>,</w:t>
      </w:r>
      <w:r>
        <w:rPr>
          <w:rFonts w:cs="宋体"/>
          <w:color w:val="000000"/>
          <w:kern w:val="0"/>
          <w:sz w:val="24"/>
        </w:rPr>
        <w:t>310</w:t>
      </w:r>
      <w:r>
        <w:rPr>
          <w:rFonts w:ascii="宋体" w:hAnsi="宋体" w:cs="宋体"/>
          <w:color w:val="000000"/>
          <w:kern w:val="0"/>
          <w:sz w:val="24"/>
        </w:rPr>
        <w:t>,</w:t>
      </w:r>
      <w:r>
        <w:rPr>
          <w:rFonts w:cs="宋体"/>
          <w:color w:val="000000"/>
          <w:kern w:val="0"/>
          <w:sz w:val="24"/>
        </w:rPr>
        <w:t>869</w:t>
      </w:r>
      <w:r>
        <w:rPr>
          <w:rFonts w:ascii="宋体" w:hAnsi="宋体" w:cs="宋体" w:hint="eastAsia"/>
          <w:color w:val="000000"/>
          <w:kern w:val="0"/>
          <w:sz w:val="24"/>
        </w:rPr>
        <w:t>股，并按照大江投资认购下限计算，本次发行完成后大江投资持股比例为</w:t>
      </w:r>
      <w:r>
        <w:rPr>
          <w:rFonts w:cs="宋体" w:hint="eastAsia"/>
          <w:color w:val="000000"/>
          <w:kern w:val="0"/>
          <w:sz w:val="24"/>
        </w:rPr>
        <w:t>19</w:t>
      </w:r>
      <w:r>
        <w:rPr>
          <w:rFonts w:ascii="宋体" w:hAnsi="宋体" w:cs="宋体" w:hint="eastAsia"/>
          <w:color w:val="000000"/>
          <w:kern w:val="0"/>
          <w:sz w:val="24"/>
        </w:rPr>
        <w:t>.</w:t>
      </w:r>
      <w:r>
        <w:rPr>
          <w:rFonts w:cs="宋体" w:hint="eastAsia"/>
          <w:color w:val="000000"/>
          <w:kern w:val="0"/>
          <w:sz w:val="24"/>
        </w:rPr>
        <w:t>84</w:t>
      </w:r>
      <w:r>
        <w:rPr>
          <w:rFonts w:ascii="宋体" w:hAnsi="宋体" w:cs="宋体" w:hint="eastAsia"/>
          <w:color w:val="000000"/>
          <w:kern w:val="0"/>
          <w:sz w:val="24"/>
        </w:rPr>
        <w:t>%，大江投资</w:t>
      </w:r>
      <w:r>
        <w:rPr>
          <w:rFonts w:ascii="宋体" w:hAnsi="宋体" w:cs="宋体"/>
          <w:color w:val="000000"/>
          <w:kern w:val="0"/>
          <w:sz w:val="24"/>
        </w:rPr>
        <w:t>仍为公司的控股股东</w:t>
      </w:r>
      <w:r>
        <w:rPr>
          <w:rFonts w:ascii="宋体" w:hAnsi="宋体" w:cs="宋体" w:hint="eastAsia"/>
          <w:color w:val="000000"/>
          <w:kern w:val="0"/>
          <w:sz w:val="24"/>
        </w:rPr>
        <w:t>，铜陵经济技术开发区管理委员会</w:t>
      </w:r>
      <w:r>
        <w:rPr>
          <w:rFonts w:ascii="宋体" w:hAnsi="宋体" w:cs="宋体"/>
          <w:color w:val="000000"/>
          <w:kern w:val="0"/>
          <w:sz w:val="24"/>
        </w:rPr>
        <w:t>仍为公司的实际控制人，公司的控股股东和实际</w:t>
      </w:r>
      <w:r>
        <w:rPr>
          <w:rFonts w:ascii="宋体" w:hAnsi="宋体" w:cs="宋体" w:hint="eastAsia"/>
          <w:color w:val="000000"/>
          <w:kern w:val="0"/>
          <w:sz w:val="24"/>
        </w:rPr>
        <w:t>控制人均未发生变更。</w:t>
      </w:r>
    </w:p>
    <w:p w14:paraId="517566BD"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本次非公开发行不会影响上市公司控制权的稳定性，且不会导致上市公司不具备上市条件的情形。</w:t>
      </w:r>
    </w:p>
    <w:p w14:paraId="1FF33508"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（四）本次非公开发行对高级管理人员结构的影响</w:t>
      </w:r>
    </w:p>
    <w:p w14:paraId="50463B9D"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本次非公开发行完成后，公司不会因本次发行对高管人员进行调整，高管人</w:t>
      </w:r>
      <w:r>
        <w:rPr>
          <w:rFonts w:ascii="宋体" w:hAnsi="宋体" w:cs="宋体" w:hint="eastAsia"/>
          <w:color w:val="000000"/>
          <w:kern w:val="0"/>
          <w:sz w:val="24"/>
        </w:rPr>
        <w:lastRenderedPageBreak/>
        <w:t>员结构不会发生变动。若公司拟调整高管人员结构，将根据相关规定，履行必要的法律程序和信息披露义务。</w:t>
      </w:r>
    </w:p>
    <w:p w14:paraId="3169C95B"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（五）本次非公开发行对业务结构的影响</w:t>
      </w:r>
    </w:p>
    <w:p w14:paraId="425E814C" w14:textId="4260ABA3"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募集资金投资方向紧密围绕公司主营业务展开，有利于进一步落实公司的既有战略规划，本次非公开发行完成后，公司的主营业务仍为薄膜电容器及其薄膜材料的研发、生产和销售。本次发行不会导致公司的业务结构发生重大变化。</w:t>
      </w:r>
    </w:p>
    <w:p w14:paraId="3E932743" w14:textId="77777777" w:rsidR="00D26039" w:rsidRDefault="00B30650">
      <w:pPr>
        <w:keepNext/>
        <w:keepLines/>
        <w:widowControl/>
        <w:spacing w:beforeLines="50" w:before="156" w:afterLines="50" w:after="156" w:line="360" w:lineRule="auto"/>
        <w:outlineLvl w:val="1"/>
        <w:rPr>
          <w:rFonts w:eastAsia="黑体"/>
          <w:b/>
          <w:bCs/>
          <w:sz w:val="28"/>
          <w:szCs w:val="28"/>
        </w:rPr>
      </w:pPr>
      <w:bookmarkStart w:id="79" w:name="_Toc111905425"/>
      <w:bookmarkStart w:id="80" w:name="_Toc51156661"/>
      <w:r>
        <w:rPr>
          <w:rFonts w:eastAsia="黑体" w:hint="eastAsia"/>
          <w:b/>
          <w:bCs/>
          <w:sz w:val="28"/>
          <w:szCs w:val="28"/>
        </w:rPr>
        <w:t>二、本次发行后公司财务状况、盈利能力及现金流量的变动情况</w:t>
      </w:r>
      <w:bookmarkEnd w:id="79"/>
      <w:bookmarkEnd w:id="80"/>
    </w:p>
    <w:p w14:paraId="2E560956"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（一）对公司财务状况的影响</w:t>
      </w:r>
    </w:p>
    <w:p w14:paraId="35B0F379" w14:textId="06832CC3"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本次非公开发行完成后，公司的总资产及净资产将同时增加，营运资金得到进一步充实，资产负债率有所降低，有利于增强公司资金实力，优化资本结构，降低财务风险</w:t>
      </w:r>
      <w:r w:rsidR="00E6545D">
        <w:rPr>
          <w:rFonts w:ascii="宋体" w:hAnsi="宋体" w:cs="宋体" w:hint="eastAsia"/>
          <w:color w:val="000000"/>
          <w:kern w:val="0"/>
          <w:sz w:val="24"/>
        </w:rPr>
        <w:t>，</w:t>
      </w:r>
      <w:r>
        <w:rPr>
          <w:rFonts w:ascii="宋体" w:hAnsi="宋体" w:cs="宋体" w:hint="eastAsia"/>
          <w:color w:val="000000"/>
          <w:kern w:val="0"/>
          <w:sz w:val="24"/>
        </w:rPr>
        <w:t>为公司持续稳健发展奠定坚实基础。</w:t>
      </w:r>
    </w:p>
    <w:p w14:paraId="60792A85"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（二）对公司盈利能力的影响</w:t>
      </w:r>
    </w:p>
    <w:p w14:paraId="236107AF"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本次非公开发行完成后，由于</w:t>
      </w:r>
      <w:proofErr w:type="gramStart"/>
      <w:r>
        <w:rPr>
          <w:rFonts w:ascii="宋体" w:hAnsi="宋体" w:cs="宋体" w:hint="eastAsia"/>
          <w:color w:val="000000"/>
          <w:kern w:val="0"/>
          <w:sz w:val="24"/>
        </w:rPr>
        <w:t>募投项目</w:t>
      </w:r>
      <w:proofErr w:type="gramEnd"/>
      <w:r>
        <w:rPr>
          <w:rFonts w:ascii="宋体" w:hAnsi="宋体" w:cs="宋体" w:hint="eastAsia"/>
          <w:color w:val="000000"/>
          <w:kern w:val="0"/>
          <w:sz w:val="24"/>
        </w:rPr>
        <w:t>建设和效益的体现需要一定周期，可能会导致每股收益、净资产收益率等盈利指标在短期内出现一定程度下降。但随着项目逐步达产，公司营业收入和净利润将有相应增长，盈利能力和净资产收益率随之提高。</w:t>
      </w:r>
    </w:p>
    <w:p w14:paraId="5C709678"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（三）对公司现金流量的影响</w:t>
      </w:r>
    </w:p>
    <w:p w14:paraId="664967E3"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募集资金到位后，公司筹资活动现金流入将大幅增加。随着募集资金投资项目的实施，公司主营业务规模将进一步扩大，盈利能力将得到提高，经营活动现金流入将相应增加，公司的总体现金流状况将得到改善。</w:t>
      </w:r>
    </w:p>
    <w:p w14:paraId="292357B1" w14:textId="77777777" w:rsidR="00D26039" w:rsidRDefault="00B30650">
      <w:pPr>
        <w:keepNext/>
        <w:keepLines/>
        <w:widowControl/>
        <w:spacing w:beforeLines="50" w:before="156" w:afterLines="50" w:after="156" w:line="360" w:lineRule="auto"/>
        <w:outlineLvl w:val="1"/>
        <w:rPr>
          <w:rFonts w:eastAsia="黑体"/>
          <w:b/>
          <w:bCs/>
          <w:sz w:val="28"/>
          <w:szCs w:val="28"/>
        </w:rPr>
      </w:pPr>
      <w:bookmarkStart w:id="81" w:name="_Toc51156662"/>
      <w:bookmarkStart w:id="82" w:name="_Toc111905426"/>
      <w:r>
        <w:rPr>
          <w:rFonts w:eastAsia="黑体" w:hint="eastAsia"/>
          <w:b/>
          <w:bCs/>
          <w:sz w:val="28"/>
          <w:szCs w:val="28"/>
        </w:rPr>
        <w:t>三、公司与控股股东及其关联人之间的业务关系、管理关系、关联交易及同业竞争等变化情况</w:t>
      </w:r>
      <w:bookmarkEnd w:id="81"/>
      <w:bookmarkEnd w:id="82"/>
    </w:p>
    <w:p w14:paraId="4BE7EE2D"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公司经营管理体系完善、人员机构配置完整，具有完全自主的独立经营能力。本次发行前，公司在业务、人员、资产、机构、财务等方面均独立运行。本次发</w:t>
      </w:r>
      <w:r>
        <w:rPr>
          <w:rFonts w:ascii="宋体" w:hAnsi="宋体" w:cs="宋体" w:hint="eastAsia"/>
          <w:color w:val="000000"/>
          <w:kern w:val="0"/>
          <w:sz w:val="24"/>
        </w:rPr>
        <w:lastRenderedPageBreak/>
        <w:t>行完成后，公司与控股股东、实际控制人及其关联人之间的业务关系、管理关系、同业竞争情况均不会发生变化。本次发行完成后，除存在控股股东因参与本次发行产生的关联交易外，公司不存在因本次非公开发行新增其他关联交易的情形。</w:t>
      </w:r>
    </w:p>
    <w:p w14:paraId="1BA91C20" w14:textId="77777777" w:rsidR="00D26039" w:rsidRDefault="00B30650">
      <w:pPr>
        <w:keepNext/>
        <w:keepLines/>
        <w:widowControl/>
        <w:spacing w:beforeLines="50" w:before="156" w:afterLines="50" w:after="156" w:line="360" w:lineRule="auto"/>
        <w:outlineLvl w:val="1"/>
        <w:rPr>
          <w:rFonts w:eastAsia="黑体"/>
          <w:b/>
          <w:bCs/>
          <w:sz w:val="28"/>
          <w:szCs w:val="28"/>
        </w:rPr>
      </w:pPr>
      <w:bookmarkStart w:id="83" w:name="_Toc51156663"/>
      <w:bookmarkStart w:id="84" w:name="_Toc111905427"/>
      <w:r>
        <w:rPr>
          <w:rFonts w:eastAsia="黑体" w:hint="eastAsia"/>
          <w:b/>
          <w:bCs/>
          <w:sz w:val="28"/>
          <w:szCs w:val="28"/>
        </w:rPr>
        <w:t>四、</w:t>
      </w:r>
      <w:bookmarkEnd w:id="83"/>
      <w:r>
        <w:rPr>
          <w:rFonts w:eastAsia="黑体" w:hint="eastAsia"/>
          <w:b/>
          <w:bCs/>
          <w:sz w:val="28"/>
          <w:szCs w:val="28"/>
        </w:rPr>
        <w:t>本次发行完成后，公司是否存在资金、资产被控股股东及其关联人占用，或为控股股东及其关联人提供担保的情形</w:t>
      </w:r>
      <w:bookmarkEnd w:id="84"/>
    </w:p>
    <w:p w14:paraId="41A8C10E"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截至本预案出具之日，公司不存在资金、资产被控股股东及其关联人占用的情形，也不存在为控股股东及其关联人提供担保的情形。</w:t>
      </w:r>
    </w:p>
    <w:p w14:paraId="0203103B"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公司不会因为本次发行产生资金、资产被控股股东及其关联人占用的情形，也不会产生为控股股东及其关联人提供担保的情形。</w:t>
      </w:r>
    </w:p>
    <w:p w14:paraId="4A924840" w14:textId="77777777" w:rsidR="00D26039" w:rsidRDefault="00B30650">
      <w:pPr>
        <w:keepNext/>
        <w:keepLines/>
        <w:widowControl/>
        <w:spacing w:beforeLines="50" w:before="156" w:afterLines="50" w:after="156" w:line="360" w:lineRule="auto"/>
        <w:outlineLvl w:val="1"/>
        <w:rPr>
          <w:rFonts w:eastAsia="黑体"/>
          <w:b/>
          <w:bCs/>
          <w:sz w:val="28"/>
          <w:szCs w:val="28"/>
        </w:rPr>
      </w:pPr>
      <w:bookmarkStart w:id="85" w:name="_Toc111905428"/>
      <w:bookmarkStart w:id="86" w:name="_Toc51156664"/>
      <w:r>
        <w:rPr>
          <w:rFonts w:eastAsia="黑体" w:hint="eastAsia"/>
          <w:b/>
          <w:bCs/>
          <w:sz w:val="28"/>
          <w:szCs w:val="28"/>
        </w:rPr>
        <w:t>五、本次发行对公司负债情况的影响</w:t>
      </w:r>
      <w:bookmarkEnd w:id="85"/>
      <w:bookmarkEnd w:id="86"/>
    </w:p>
    <w:p w14:paraId="68EAAE85"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本次非公开发行完成后，公司的总资产和净资产将同时大幅增加，资产负债率将有所下降，可有效改善公司的资产负债结构，提高公司的偿债能力，进一步加强公司抗风险能力。公司不存在通过本次非公开发行大量增加负债（包括或有负债）的情况，亦不存在负债比例过低、财务成本不合理的情形。</w:t>
      </w:r>
    </w:p>
    <w:p w14:paraId="0E360B0C" w14:textId="77777777" w:rsidR="00D26039" w:rsidRDefault="00B30650">
      <w:pPr>
        <w:keepNext/>
        <w:keepLines/>
        <w:widowControl/>
        <w:spacing w:beforeLines="50" w:before="156" w:afterLines="50" w:after="156" w:line="360" w:lineRule="auto"/>
        <w:outlineLvl w:val="1"/>
        <w:rPr>
          <w:rFonts w:eastAsia="黑体"/>
          <w:b/>
          <w:bCs/>
          <w:sz w:val="28"/>
          <w:szCs w:val="28"/>
        </w:rPr>
      </w:pPr>
      <w:bookmarkStart w:id="87" w:name="_Toc512526910"/>
      <w:bookmarkStart w:id="88" w:name="_Toc111905429"/>
      <w:r>
        <w:rPr>
          <w:rFonts w:eastAsia="黑体"/>
          <w:b/>
          <w:bCs/>
          <w:sz w:val="28"/>
          <w:szCs w:val="28"/>
        </w:rPr>
        <w:t>六、本次股票发行相关的风险说明</w:t>
      </w:r>
      <w:bookmarkEnd w:id="87"/>
      <w:bookmarkEnd w:id="88"/>
    </w:p>
    <w:p w14:paraId="4A527FF5"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color w:val="000000"/>
          <w:kern w:val="0"/>
          <w:sz w:val="24"/>
        </w:rPr>
        <w:t>投资者在评价公司本次非公开发行股票时，除本预案提供的其他各项资料外，应特别认真考虑下述各项风险因素：</w:t>
      </w:r>
    </w:p>
    <w:p w14:paraId="5A03C779"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（一）宏观经济波动与政策变化</w:t>
      </w:r>
      <w:r>
        <w:rPr>
          <w:rFonts w:eastAsia="黑体"/>
          <w:b/>
          <w:bCs/>
          <w:kern w:val="0"/>
          <w:sz w:val="24"/>
        </w:rPr>
        <w:t>的风险</w:t>
      </w:r>
    </w:p>
    <w:p w14:paraId="5E085541" w14:textId="57C78ED3"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长期从事薄膜电容器及其薄膜材料等产品的研发、生产制造与销售。薄膜电容器广泛应用于家电、通讯、电网、工业控制、照明和新能源等多个行业，该等行业客户对公司产品的需求受宏观经济及自身行业周期的影响会产生波动。目前，国际、国内宏观经济形势复杂多变，外部风险挑战增多，我国宏观经济增速亦面临下行压力加大的风险，若未来经济景气度低迷甚至下滑，或国家对行业的政策发生不利变化，可能对公司未来的经营业绩产生不利影响。</w:t>
      </w:r>
    </w:p>
    <w:p w14:paraId="00BB98D3"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（二）市场竞争加剧的风险</w:t>
      </w:r>
    </w:p>
    <w:p w14:paraId="37E293F2" w14:textId="7C73B254"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公司主要产品为薄膜</w:t>
      </w:r>
      <w:r w:rsidR="00F6487A">
        <w:rPr>
          <w:rFonts w:ascii="宋体" w:hAnsi="宋体" w:cs="宋体" w:hint="eastAsia"/>
          <w:color w:val="000000"/>
          <w:kern w:val="0"/>
          <w:sz w:val="24"/>
        </w:rPr>
        <w:t>材料</w:t>
      </w:r>
      <w:r>
        <w:rPr>
          <w:rFonts w:ascii="宋体" w:hAnsi="宋体" w:cs="宋体" w:hint="eastAsia"/>
          <w:color w:val="000000"/>
          <w:kern w:val="0"/>
          <w:sz w:val="24"/>
        </w:rPr>
        <w:t>和薄膜电容器。目前电容</w:t>
      </w:r>
      <w:r w:rsidR="00101F6E">
        <w:rPr>
          <w:rFonts w:ascii="宋体" w:hAnsi="宋体" w:cs="宋体" w:hint="eastAsia"/>
          <w:color w:val="000000"/>
          <w:kern w:val="0"/>
          <w:sz w:val="24"/>
        </w:rPr>
        <w:t>器</w:t>
      </w:r>
      <w:r>
        <w:rPr>
          <w:rFonts w:ascii="宋体" w:hAnsi="宋体" w:cs="宋体" w:hint="eastAsia"/>
          <w:color w:val="000000"/>
          <w:kern w:val="0"/>
          <w:sz w:val="24"/>
        </w:rPr>
        <w:t>薄膜行业市场充分竞争，规模化生产企业日趋增多，行业结构性产能过剩现象依然存在，中低端产品市场竞争激烈，</w:t>
      </w:r>
      <w:r w:rsidR="00101F6E">
        <w:rPr>
          <w:rFonts w:ascii="宋体" w:hAnsi="宋体" w:cs="宋体" w:hint="eastAsia"/>
          <w:color w:val="000000"/>
          <w:kern w:val="0"/>
          <w:sz w:val="24"/>
        </w:rPr>
        <w:t>同时</w:t>
      </w:r>
      <w:r>
        <w:rPr>
          <w:rFonts w:ascii="宋体" w:hAnsi="宋体" w:cs="宋体" w:hint="eastAsia"/>
          <w:color w:val="000000"/>
          <w:kern w:val="0"/>
          <w:sz w:val="24"/>
        </w:rPr>
        <w:t>目前全球经济增长放缓使得投资和消费出现下滑，行业竞争在经济增长乏力的情况下将进一步加剧。若公司未来在激烈的市场竞争中不能在产品研发、市场开拓等方面保持竞争力，公司将面临市场份额减少、盈利能力下降的风险。</w:t>
      </w:r>
    </w:p>
    <w:p w14:paraId="0A5274B9"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w:t>
      </w:r>
      <w:r>
        <w:rPr>
          <w:rFonts w:eastAsia="黑体" w:hint="eastAsia"/>
          <w:b/>
          <w:bCs/>
          <w:kern w:val="0"/>
          <w:sz w:val="24"/>
        </w:rPr>
        <w:t>三</w:t>
      </w:r>
      <w:r>
        <w:rPr>
          <w:rFonts w:eastAsia="黑体"/>
          <w:b/>
          <w:bCs/>
          <w:kern w:val="0"/>
          <w:sz w:val="24"/>
        </w:rPr>
        <w:t>）摊薄即期回报的风险</w:t>
      </w:r>
    </w:p>
    <w:p w14:paraId="185498ED"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color w:val="000000"/>
          <w:kern w:val="0"/>
          <w:sz w:val="24"/>
        </w:rPr>
        <w:t>本次发行完成后，公司的总股本和净资产</w:t>
      </w:r>
      <w:r>
        <w:rPr>
          <w:rFonts w:ascii="宋体" w:hAnsi="宋体" w:cs="宋体" w:hint="eastAsia"/>
          <w:color w:val="000000"/>
          <w:kern w:val="0"/>
          <w:sz w:val="24"/>
        </w:rPr>
        <w:t>规模</w:t>
      </w:r>
      <w:r>
        <w:rPr>
          <w:rFonts w:ascii="宋体" w:hAnsi="宋体" w:cs="宋体"/>
          <w:color w:val="000000"/>
          <w:kern w:val="0"/>
          <w:sz w:val="24"/>
        </w:rPr>
        <w:t>将</w:t>
      </w:r>
      <w:r>
        <w:rPr>
          <w:rFonts w:ascii="宋体" w:hAnsi="宋体" w:cs="宋体" w:hint="eastAsia"/>
          <w:color w:val="000000"/>
          <w:kern w:val="0"/>
          <w:sz w:val="24"/>
        </w:rPr>
        <w:t>进一步</w:t>
      </w:r>
      <w:r>
        <w:rPr>
          <w:rFonts w:ascii="宋体" w:hAnsi="宋体" w:cs="宋体"/>
          <w:color w:val="000000"/>
          <w:kern w:val="0"/>
          <w:sz w:val="24"/>
        </w:rPr>
        <w:t>增加，公司整体资本实力得以提升</w:t>
      </w:r>
      <w:r>
        <w:rPr>
          <w:rFonts w:ascii="宋体" w:hAnsi="宋体" w:cs="宋体" w:hint="eastAsia"/>
          <w:color w:val="000000"/>
          <w:kern w:val="0"/>
          <w:sz w:val="24"/>
        </w:rPr>
        <w:t>，但募集资金投资项目需要一定的建设期，且项目全部达产也需要一定时间，如果公司营业收入及净利润没有立即实现同步增长，则短期内公司每股收益和净资产收益率将存在下降的风险。</w:t>
      </w:r>
    </w:p>
    <w:p w14:paraId="007B8D06"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（四）股价波动风险</w:t>
      </w:r>
    </w:p>
    <w:p w14:paraId="1EDDD940"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股票价格不仅取决于公司的经营状况和行业环境，同时也受国家经济政策调整、利率和汇率变动、股票市场投机行为以及投资者的心理预期波动等多种因素影响。由于以上多种不确定因素的存在，公司股票可能会产生脱离其本身价值的波动，从而给投资者带来投资风险。</w:t>
      </w:r>
    </w:p>
    <w:p w14:paraId="3FE43D53"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（五）原材料价格波动风险</w:t>
      </w:r>
      <w:r>
        <w:rPr>
          <w:rFonts w:ascii="MS Gothic" w:eastAsia="MS Gothic" w:hAnsi="MS Gothic" w:cs="MS Gothic" w:hint="eastAsia"/>
          <w:b/>
          <w:bCs/>
          <w:kern w:val="0"/>
          <w:sz w:val="24"/>
        </w:rPr>
        <w:t>‌</w:t>
      </w:r>
    </w:p>
    <w:p w14:paraId="32116CA9" w14:textId="4549756E" w:rsidR="00D26039" w:rsidRDefault="00F6487A">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公司生产</w:t>
      </w:r>
      <w:r>
        <w:rPr>
          <w:rFonts w:ascii="宋体" w:hAnsi="宋体" w:hint="eastAsia"/>
          <w:kern w:val="0"/>
          <w:sz w:val="24"/>
        </w:rPr>
        <w:t>超薄型薄膜材料</w:t>
      </w:r>
      <w:r>
        <w:rPr>
          <w:rFonts w:ascii="宋体" w:hAnsi="宋体" w:cs="宋体" w:hint="eastAsia"/>
          <w:color w:val="000000"/>
          <w:kern w:val="0"/>
          <w:sz w:val="24"/>
        </w:rPr>
        <w:t>所需的原材料主要为聚丙烯颗粒，</w:t>
      </w:r>
      <w:r w:rsidR="00B30650">
        <w:rPr>
          <w:rFonts w:ascii="宋体" w:hAnsi="宋体" w:cs="宋体" w:hint="eastAsia"/>
          <w:color w:val="000000"/>
          <w:kern w:val="0"/>
          <w:sz w:val="24"/>
        </w:rPr>
        <w:t>该等原材料为石油化工行业下游产品，其价格受国际原油市场价格波动影响较大。由于原材料成本占产品成本的比例较高，若原油市场价格发生大幅波动，将可能导致公司主要原材料价格大幅度波动，进而影响公司的经营业绩。</w:t>
      </w:r>
    </w:p>
    <w:p w14:paraId="618266E9"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（六）募集资金投资项目实施风险</w:t>
      </w:r>
    </w:p>
    <w:p w14:paraId="62B2D87A"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公司本次发行募集资金投资项目的可行性分析是基于当前市场环境、产业政策、技术水平、产品价格、原材料供应等因素的现状和</w:t>
      </w:r>
      <w:proofErr w:type="gramStart"/>
      <w:r>
        <w:rPr>
          <w:rFonts w:ascii="宋体" w:hAnsi="宋体" w:cs="宋体" w:hint="eastAsia"/>
          <w:color w:val="000000"/>
          <w:kern w:val="0"/>
          <w:sz w:val="24"/>
        </w:rPr>
        <w:t>可</w:t>
      </w:r>
      <w:proofErr w:type="gramEnd"/>
      <w:r>
        <w:rPr>
          <w:rFonts w:ascii="宋体" w:hAnsi="宋体" w:cs="宋体" w:hint="eastAsia"/>
          <w:color w:val="000000"/>
          <w:kern w:val="0"/>
          <w:sz w:val="24"/>
        </w:rPr>
        <w:t>预见的变动趋势做出的，投资项目虽然经过了慎重、充分的可行性研究论证，但上述项目在实施过程及后期经营中，如相关行业政策、经济和市场环境等方面出现重大变化，可能导致项目不能如期完成或顺利实施，进而影响项目进展或预期收益。</w:t>
      </w:r>
    </w:p>
    <w:p w14:paraId="0227A660"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lastRenderedPageBreak/>
        <w:t>（</w:t>
      </w:r>
      <w:r>
        <w:rPr>
          <w:rFonts w:eastAsia="黑体" w:hint="eastAsia"/>
          <w:b/>
          <w:bCs/>
          <w:kern w:val="0"/>
          <w:sz w:val="24"/>
        </w:rPr>
        <w:t>七</w:t>
      </w:r>
      <w:r>
        <w:rPr>
          <w:rFonts w:eastAsia="黑体"/>
          <w:b/>
          <w:bCs/>
          <w:kern w:val="0"/>
          <w:sz w:val="24"/>
        </w:rPr>
        <w:t>）审批风险</w:t>
      </w:r>
    </w:p>
    <w:p w14:paraId="4626737C" w14:textId="77777777" w:rsidR="00D26039" w:rsidRDefault="00B30650">
      <w:pPr>
        <w:spacing w:beforeLines="50" w:before="156" w:afterLines="50" w:after="156" w:line="360" w:lineRule="auto"/>
        <w:ind w:firstLineChars="200" w:firstLine="480"/>
        <w:rPr>
          <w:rFonts w:ascii="宋体" w:hAnsi="宋体" w:cs="宋体"/>
          <w:color w:val="000000"/>
          <w:kern w:val="0"/>
          <w:sz w:val="24"/>
        </w:rPr>
      </w:pPr>
      <w:r>
        <w:rPr>
          <w:rFonts w:ascii="宋体" w:hAnsi="宋体" w:cs="宋体"/>
          <w:color w:val="000000"/>
          <w:kern w:val="0"/>
          <w:sz w:val="24"/>
        </w:rPr>
        <w:t>本次非公开发行股票需经</w:t>
      </w:r>
      <w:r>
        <w:rPr>
          <w:rFonts w:ascii="宋体" w:hAnsi="宋体" w:cs="宋体" w:hint="eastAsia"/>
          <w:color w:val="000000"/>
          <w:kern w:val="0"/>
          <w:sz w:val="24"/>
        </w:rPr>
        <w:t>有权国资审批单位批准、</w:t>
      </w:r>
      <w:r>
        <w:rPr>
          <w:rFonts w:ascii="宋体" w:hAnsi="宋体" w:cs="宋体"/>
          <w:color w:val="000000"/>
          <w:kern w:val="0"/>
          <w:sz w:val="24"/>
        </w:rPr>
        <w:t>公司股东大会审议</w:t>
      </w:r>
      <w:r>
        <w:rPr>
          <w:rFonts w:ascii="宋体" w:hAnsi="宋体" w:cs="宋体" w:hint="eastAsia"/>
          <w:color w:val="000000"/>
          <w:kern w:val="0"/>
          <w:sz w:val="24"/>
        </w:rPr>
        <w:t>通过及</w:t>
      </w:r>
      <w:r>
        <w:rPr>
          <w:rFonts w:ascii="宋体" w:hAnsi="宋体" w:cs="宋体"/>
          <w:color w:val="000000"/>
          <w:kern w:val="0"/>
          <w:sz w:val="24"/>
        </w:rPr>
        <w:t>中国证监会的核准，能否取得</w:t>
      </w:r>
      <w:r>
        <w:rPr>
          <w:rFonts w:ascii="宋体" w:hAnsi="宋体" w:cs="宋体" w:hint="eastAsia"/>
          <w:color w:val="000000"/>
          <w:kern w:val="0"/>
          <w:sz w:val="24"/>
        </w:rPr>
        <w:t>批准或</w:t>
      </w:r>
      <w:r>
        <w:rPr>
          <w:rFonts w:ascii="宋体" w:hAnsi="宋体" w:cs="宋体"/>
          <w:color w:val="000000"/>
          <w:kern w:val="0"/>
          <w:sz w:val="24"/>
        </w:rPr>
        <w:t>核准，存在</w:t>
      </w:r>
      <w:r>
        <w:rPr>
          <w:rFonts w:ascii="宋体" w:hAnsi="宋体" w:cs="宋体" w:hint="eastAsia"/>
          <w:color w:val="000000"/>
          <w:kern w:val="0"/>
          <w:sz w:val="24"/>
        </w:rPr>
        <w:t>一定的</w:t>
      </w:r>
      <w:r>
        <w:rPr>
          <w:rFonts w:ascii="宋体" w:hAnsi="宋体" w:cs="宋体"/>
          <w:color w:val="000000"/>
          <w:kern w:val="0"/>
          <w:sz w:val="24"/>
        </w:rPr>
        <w:t>不确定性。</w:t>
      </w:r>
    </w:p>
    <w:p w14:paraId="4C29483F" w14:textId="77777777" w:rsidR="00D26039" w:rsidRDefault="00D26039">
      <w:pPr>
        <w:pStyle w:val="1"/>
        <w:autoSpaceDE w:val="0"/>
        <w:sectPr w:rsidR="00D26039">
          <w:pgSz w:w="11906" w:h="16838"/>
          <w:pgMar w:top="1440" w:right="1800" w:bottom="1440" w:left="1800" w:header="851" w:footer="992" w:gutter="0"/>
          <w:cols w:space="425"/>
          <w:docGrid w:type="lines" w:linePitch="312"/>
        </w:sectPr>
      </w:pPr>
    </w:p>
    <w:p w14:paraId="66C56E74" w14:textId="77777777" w:rsidR="00D26039" w:rsidRDefault="00B30650">
      <w:pPr>
        <w:pStyle w:val="1"/>
        <w:autoSpaceDE w:val="0"/>
        <w:spacing w:beforeLines="50" w:before="156" w:afterLines="50" w:after="156" w:line="360" w:lineRule="auto"/>
      </w:pPr>
      <w:bookmarkStart w:id="89" w:name="_Toc19993"/>
      <w:bookmarkStart w:id="90" w:name="_Toc30171"/>
      <w:bookmarkStart w:id="91" w:name="_Toc111905430"/>
      <w:r>
        <w:lastRenderedPageBreak/>
        <w:t>第六节</w:t>
      </w:r>
      <w:r>
        <w:t xml:space="preserve"> </w:t>
      </w:r>
      <w:r>
        <w:t>公司股利分配政策及股利分配情况</w:t>
      </w:r>
      <w:bookmarkEnd w:id="89"/>
      <w:bookmarkEnd w:id="90"/>
      <w:bookmarkEnd w:id="91"/>
    </w:p>
    <w:p w14:paraId="3F2B429D" w14:textId="77777777" w:rsidR="00D26039" w:rsidRDefault="00B30650">
      <w:pPr>
        <w:pStyle w:val="2"/>
        <w:autoSpaceDE w:val="0"/>
        <w:spacing w:beforeLines="50" w:before="156" w:afterLines="50" w:after="156" w:line="360" w:lineRule="auto"/>
        <w:rPr>
          <w:rFonts w:ascii="Times New Roman" w:hAnsi="Times New Roman"/>
          <w:kern w:val="0"/>
          <w:szCs w:val="28"/>
        </w:rPr>
      </w:pPr>
      <w:bookmarkStart w:id="92" w:name="_Toc419"/>
      <w:bookmarkStart w:id="93" w:name="_Toc111905431"/>
      <w:bookmarkStart w:id="94" w:name="_Toc14602"/>
      <w:bookmarkStart w:id="95" w:name="_Toc512526912"/>
      <w:r>
        <w:rPr>
          <w:rFonts w:ascii="Times New Roman" w:hAnsi="Times New Roman"/>
          <w:kern w:val="0"/>
          <w:szCs w:val="28"/>
        </w:rPr>
        <w:t>一、公司股利分配政策</w:t>
      </w:r>
      <w:bookmarkEnd w:id="92"/>
      <w:bookmarkEnd w:id="93"/>
      <w:bookmarkEnd w:id="94"/>
      <w:bookmarkEnd w:id="95"/>
    </w:p>
    <w:p w14:paraId="79A75F24" w14:textId="7E990D65"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为完善和健全公司科学、持续、稳定、透明的分红政策和监督机制，积极有效地回报投资者，根据中国证监会《关于进一步落实上市公司现金分红有关事项的通知》、《上市公司监管指引第</w:t>
      </w:r>
      <w:r>
        <w:rPr>
          <w:color w:val="000000"/>
          <w:kern w:val="0"/>
          <w:sz w:val="24"/>
          <w:lang w:bidi="ar"/>
        </w:rPr>
        <w:t>3</w:t>
      </w:r>
      <w:r>
        <w:rPr>
          <w:color w:val="000000"/>
          <w:kern w:val="0"/>
          <w:sz w:val="24"/>
          <w:lang w:bidi="ar"/>
        </w:rPr>
        <w:t>号</w:t>
      </w:r>
      <w:r w:rsidR="00B8674D">
        <w:rPr>
          <w:rFonts w:hint="eastAsia"/>
          <w:color w:val="000000"/>
          <w:kern w:val="0"/>
          <w:sz w:val="24"/>
          <w:lang w:bidi="ar"/>
        </w:rPr>
        <w:t>——</w:t>
      </w:r>
      <w:r>
        <w:rPr>
          <w:color w:val="000000"/>
          <w:kern w:val="0"/>
          <w:sz w:val="24"/>
          <w:lang w:bidi="ar"/>
        </w:rPr>
        <w:t>上市公司现金分红》等规定，公司制定和完善了《公司章程》中有关利润分配的相关条款，明确了公司利润分配尤其是现金分红的具体条件、比例、分配形式和股票股利分配条件等，完善了公司利润分配的决策程序和机制以及利润分配政策的调整原则，强化了中小投资者权益保障机制。</w:t>
      </w:r>
    </w:p>
    <w:p w14:paraId="24F9EDAD"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《公司章程》对公司的股利分配政策</w:t>
      </w:r>
      <w:proofErr w:type="gramStart"/>
      <w:r>
        <w:rPr>
          <w:color w:val="000000"/>
          <w:kern w:val="0"/>
          <w:sz w:val="24"/>
          <w:lang w:bidi="ar"/>
        </w:rPr>
        <w:t>作出</w:t>
      </w:r>
      <w:proofErr w:type="gramEnd"/>
      <w:r>
        <w:rPr>
          <w:color w:val="000000"/>
          <w:kern w:val="0"/>
          <w:sz w:val="24"/>
          <w:lang w:bidi="ar"/>
        </w:rPr>
        <w:t>的规定如下：</w:t>
      </w:r>
    </w:p>
    <w:p w14:paraId="231FDA98" w14:textId="2F133A49" w:rsidR="00D26039" w:rsidRDefault="00C87478">
      <w:pPr>
        <w:widowControl/>
        <w:spacing w:beforeLines="50" w:before="156" w:afterLines="50" w:after="156" w:line="360" w:lineRule="auto"/>
        <w:ind w:firstLineChars="200" w:firstLine="480"/>
        <w:rPr>
          <w:color w:val="000000"/>
          <w:kern w:val="0"/>
          <w:sz w:val="24"/>
          <w:lang w:bidi="ar"/>
        </w:rPr>
      </w:pPr>
      <w:r>
        <w:rPr>
          <w:rFonts w:hint="eastAsia"/>
          <w:bCs/>
          <w:color w:val="000000"/>
          <w:kern w:val="0"/>
          <w:sz w:val="24"/>
          <w:lang w:bidi="ar"/>
        </w:rPr>
        <w:t>“</w:t>
      </w:r>
      <w:r w:rsidR="00B30650">
        <w:rPr>
          <w:rFonts w:hint="eastAsia"/>
          <w:bCs/>
          <w:color w:val="000000"/>
          <w:kern w:val="0"/>
          <w:sz w:val="24"/>
          <w:lang w:bidi="ar"/>
        </w:rPr>
        <w:t>第一百五十五条</w:t>
      </w:r>
      <w:r w:rsidR="00B30650">
        <w:rPr>
          <w:b/>
          <w:bCs/>
          <w:color w:val="000000"/>
          <w:kern w:val="0"/>
          <w:sz w:val="24"/>
          <w:lang w:bidi="ar"/>
        </w:rPr>
        <w:t xml:space="preserve"> </w:t>
      </w:r>
      <w:r w:rsidR="00B30650">
        <w:rPr>
          <w:color w:val="000000"/>
          <w:kern w:val="0"/>
          <w:sz w:val="24"/>
          <w:lang w:bidi="ar"/>
        </w:rPr>
        <w:t>公司利润分配政策为：</w:t>
      </w:r>
    </w:p>
    <w:p w14:paraId="1811BD68"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（一）公司股利分配的原则</w:t>
      </w:r>
    </w:p>
    <w:p w14:paraId="7B9BFD7E"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1</w:t>
      </w:r>
      <w:r>
        <w:rPr>
          <w:color w:val="000000"/>
          <w:kern w:val="0"/>
          <w:sz w:val="24"/>
          <w:lang w:bidi="ar"/>
        </w:rPr>
        <w:t>、公司在重视对投资者的合理投资回报基础上，兼顾公司的可持续发展，实行连续、稳定的利润分配政策；</w:t>
      </w:r>
    </w:p>
    <w:p w14:paraId="2A58CC40"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2</w:t>
      </w:r>
      <w:r>
        <w:rPr>
          <w:color w:val="000000"/>
          <w:kern w:val="0"/>
          <w:sz w:val="24"/>
          <w:lang w:bidi="ar"/>
        </w:rPr>
        <w:t>、在公司盈利且现金</w:t>
      </w:r>
      <w:proofErr w:type="gramStart"/>
      <w:r>
        <w:rPr>
          <w:color w:val="000000"/>
          <w:kern w:val="0"/>
          <w:sz w:val="24"/>
          <w:lang w:bidi="ar"/>
        </w:rPr>
        <w:t>流满足</w:t>
      </w:r>
      <w:proofErr w:type="gramEnd"/>
      <w:r>
        <w:rPr>
          <w:color w:val="000000"/>
          <w:kern w:val="0"/>
          <w:sz w:val="24"/>
          <w:lang w:bidi="ar"/>
        </w:rPr>
        <w:t>公司正常经营和长期发展的前提下，公司将实施积极的现金股利分配办法；</w:t>
      </w:r>
    </w:p>
    <w:p w14:paraId="2BA0884C"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3</w:t>
      </w:r>
      <w:r>
        <w:rPr>
          <w:color w:val="000000"/>
          <w:kern w:val="0"/>
          <w:sz w:val="24"/>
          <w:lang w:bidi="ar"/>
        </w:rPr>
        <w:t>、公司董事会和股东大会在对利润分配方案的拟定和决策过程中将充分考虑独立董事和公众投资者的意见；</w:t>
      </w:r>
    </w:p>
    <w:p w14:paraId="4899854E"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4</w:t>
      </w:r>
      <w:r>
        <w:rPr>
          <w:color w:val="000000"/>
          <w:kern w:val="0"/>
          <w:sz w:val="24"/>
          <w:lang w:bidi="ar"/>
        </w:rPr>
        <w:t>、存在股东违规占用公司资金情况的，公司应当扣减该股东所分配的现金红利，以偿还其占用的资金。</w:t>
      </w:r>
    </w:p>
    <w:p w14:paraId="449BD5EE" w14:textId="77777777" w:rsidR="00D26039" w:rsidRDefault="00B30650">
      <w:pPr>
        <w:widowControl/>
        <w:spacing w:beforeLines="50" w:before="156" w:afterLines="50" w:after="156" w:line="360" w:lineRule="auto"/>
        <w:ind w:firstLineChars="200" w:firstLine="480"/>
        <w:jc w:val="left"/>
        <w:rPr>
          <w:color w:val="000000"/>
          <w:kern w:val="0"/>
          <w:sz w:val="24"/>
          <w:lang w:bidi="ar"/>
        </w:rPr>
      </w:pPr>
      <w:r>
        <w:rPr>
          <w:color w:val="000000"/>
          <w:kern w:val="0"/>
          <w:sz w:val="24"/>
          <w:lang w:bidi="ar"/>
        </w:rPr>
        <w:t>（二）公司股利分配的方式</w:t>
      </w:r>
    </w:p>
    <w:p w14:paraId="296AE813"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1</w:t>
      </w:r>
      <w:r>
        <w:rPr>
          <w:color w:val="000000"/>
          <w:kern w:val="0"/>
          <w:sz w:val="24"/>
          <w:lang w:bidi="ar"/>
        </w:rPr>
        <w:t>、公司采取现金、股票或者现金股票相结合的方式分配股利，并优先选用现金分红的利润分配方式；在条件允许的情形下，公司可以进行中期分红；</w:t>
      </w:r>
    </w:p>
    <w:p w14:paraId="0555E7DD"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lastRenderedPageBreak/>
        <w:t>2</w:t>
      </w:r>
      <w:r>
        <w:rPr>
          <w:color w:val="000000"/>
          <w:kern w:val="0"/>
          <w:sz w:val="24"/>
          <w:lang w:bidi="ar"/>
        </w:rPr>
        <w:t>、在满足公司持续生产经营资金需求的情况下，且无重大投资计划或重大现金支出等事项发生，公司应当采取现金方式分配股利，公司每年以现金形式分配的利润不少于所分配年度实现的可分配利润的</w:t>
      </w:r>
      <w:r>
        <w:rPr>
          <w:color w:val="000000"/>
          <w:kern w:val="0"/>
          <w:sz w:val="24"/>
          <w:lang w:bidi="ar"/>
        </w:rPr>
        <w:t>20%</w:t>
      </w:r>
      <w:r>
        <w:rPr>
          <w:color w:val="000000"/>
          <w:kern w:val="0"/>
          <w:sz w:val="24"/>
          <w:lang w:bidi="ar"/>
        </w:rPr>
        <w:t>；</w:t>
      </w:r>
    </w:p>
    <w:p w14:paraId="4BACBD49"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重大投资计划或重大现金支出是指以下情形之一：</w:t>
      </w:r>
    </w:p>
    <w:p w14:paraId="3CE6759B"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w:t>
      </w:r>
      <w:r>
        <w:rPr>
          <w:color w:val="000000"/>
          <w:kern w:val="0"/>
          <w:sz w:val="24"/>
          <w:lang w:bidi="ar"/>
        </w:rPr>
        <w:t>1</w:t>
      </w:r>
      <w:r>
        <w:rPr>
          <w:color w:val="000000"/>
          <w:kern w:val="0"/>
          <w:sz w:val="24"/>
          <w:lang w:bidi="ar"/>
        </w:rPr>
        <w:t>）公司未来一年内</w:t>
      </w:r>
      <w:proofErr w:type="gramStart"/>
      <w:r>
        <w:rPr>
          <w:color w:val="000000"/>
          <w:kern w:val="0"/>
          <w:sz w:val="24"/>
          <w:lang w:bidi="ar"/>
        </w:rPr>
        <w:t>拟对外</w:t>
      </w:r>
      <w:proofErr w:type="gramEnd"/>
      <w:r>
        <w:rPr>
          <w:color w:val="000000"/>
          <w:kern w:val="0"/>
          <w:sz w:val="24"/>
          <w:lang w:bidi="ar"/>
        </w:rPr>
        <w:t>投资、收购资产、购买设备或偿还债务累计支出达到或超过公司最近一期经审计净资产的</w:t>
      </w:r>
      <w:r>
        <w:rPr>
          <w:color w:val="000000"/>
          <w:kern w:val="0"/>
          <w:sz w:val="24"/>
          <w:lang w:bidi="ar"/>
        </w:rPr>
        <w:t>50%</w:t>
      </w:r>
      <w:r>
        <w:rPr>
          <w:color w:val="000000"/>
          <w:kern w:val="0"/>
          <w:sz w:val="24"/>
          <w:lang w:bidi="ar"/>
        </w:rPr>
        <w:t>，且超过</w:t>
      </w:r>
      <w:r>
        <w:rPr>
          <w:color w:val="000000"/>
          <w:kern w:val="0"/>
          <w:sz w:val="24"/>
          <w:lang w:bidi="ar"/>
        </w:rPr>
        <w:t>5,000</w:t>
      </w:r>
      <w:r>
        <w:rPr>
          <w:color w:val="000000"/>
          <w:kern w:val="0"/>
          <w:sz w:val="24"/>
          <w:lang w:bidi="ar"/>
        </w:rPr>
        <w:t>万元；</w:t>
      </w:r>
    </w:p>
    <w:p w14:paraId="703A9E36"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w:t>
      </w:r>
      <w:r>
        <w:rPr>
          <w:color w:val="000000"/>
          <w:kern w:val="0"/>
          <w:sz w:val="24"/>
          <w:lang w:bidi="ar"/>
        </w:rPr>
        <w:t>2</w:t>
      </w:r>
      <w:r>
        <w:rPr>
          <w:color w:val="000000"/>
          <w:kern w:val="0"/>
          <w:sz w:val="24"/>
          <w:lang w:bidi="ar"/>
        </w:rPr>
        <w:t>）公司未来一年内</w:t>
      </w:r>
      <w:proofErr w:type="gramStart"/>
      <w:r>
        <w:rPr>
          <w:color w:val="000000"/>
          <w:kern w:val="0"/>
          <w:sz w:val="24"/>
          <w:lang w:bidi="ar"/>
        </w:rPr>
        <w:t>拟对外</w:t>
      </w:r>
      <w:proofErr w:type="gramEnd"/>
      <w:r>
        <w:rPr>
          <w:color w:val="000000"/>
          <w:kern w:val="0"/>
          <w:sz w:val="24"/>
          <w:lang w:bidi="ar"/>
        </w:rPr>
        <w:t>投资、收购资产、购买设备或偿还债务累计支出达到或超过公司最近一期经审计总资产的</w:t>
      </w:r>
      <w:r>
        <w:rPr>
          <w:color w:val="000000"/>
          <w:kern w:val="0"/>
          <w:sz w:val="24"/>
          <w:lang w:bidi="ar"/>
        </w:rPr>
        <w:t>30%</w:t>
      </w:r>
      <w:r>
        <w:rPr>
          <w:color w:val="000000"/>
          <w:kern w:val="0"/>
          <w:sz w:val="24"/>
          <w:lang w:bidi="ar"/>
        </w:rPr>
        <w:t>。</w:t>
      </w:r>
    </w:p>
    <w:p w14:paraId="13D474D5"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满足上述条件的重大投资计划或者重大现金支出须由董事会审议后提交股东大会审议批准。</w:t>
      </w:r>
    </w:p>
    <w:p w14:paraId="5892C28E"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公司董事会应当综合考虑所处行业特点、发展阶段、自身经营模式、盈利水平以及是否有重大资金支出安排等因素，区分下列情形，并按照本章程规定的程序，提出差异化的现金分红政策：</w:t>
      </w:r>
    </w:p>
    <w:p w14:paraId="113E9DC0"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w:t>
      </w:r>
      <w:r>
        <w:rPr>
          <w:color w:val="000000"/>
          <w:kern w:val="0"/>
          <w:sz w:val="24"/>
          <w:lang w:bidi="ar"/>
        </w:rPr>
        <w:t>1</w:t>
      </w:r>
      <w:r>
        <w:rPr>
          <w:color w:val="000000"/>
          <w:kern w:val="0"/>
          <w:sz w:val="24"/>
          <w:lang w:bidi="ar"/>
        </w:rPr>
        <w:t>）公司发展阶段属成熟期且无重大资金支出安排的，进行利润分配时，现金分红在本次利润分配中所占比例最低应达到</w:t>
      </w:r>
      <w:r>
        <w:rPr>
          <w:color w:val="000000"/>
          <w:kern w:val="0"/>
          <w:sz w:val="24"/>
          <w:lang w:bidi="ar"/>
        </w:rPr>
        <w:t>80%</w:t>
      </w:r>
      <w:r>
        <w:rPr>
          <w:color w:val="000000"/>
          <w:kern w:val="0"/>
          <w:sz w:val="24"/>
          <w:lang w:bidi="ar"/>
        </w:rPr>
        <w:t>；</w:t>
      </w:r>
    </w:p>
    <w:p w14:paraId="2A369243"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w:t>
      </w:r>
      <w:r>
        <w:rPr>
          <w:color w:val="000000"/>
          <w:kern w:val="0"/>
          <w:sz w:val="24"/>
          <w:lang w:bidi="ar"/>
        </w:rPr>
        <w:t>2</w:t>
      </w:r>
      <w:r>
        <w:rPr>
          <w:color w:val="000000"/>
          <w:kern w:val="0"/>
          <w:sz w:val="24"/>
          <w:lang w:bidi="ar"/>
        </w:rPr>
        <w:t>）公司发展阶段属成熟期且有重大资金支出安排的，进行利润分配时，现金分红在本次利润分配中所占比例最低应达到</w:t>
      </w:r>
      <w:r>
        <w:rPr>
          <w:color w:val="000000"/>
          <w:kern w:val="0"/>
          <w:sz w:val="24"/>
          <w:lang w:bidi="ar"/>
        </w:rPr>
        <w:t>40%</w:t>
      </w:r>
      <w:r>
        <w:rPr>
          <w:color w:val="000000"/>
          <w:kern w:val="0"/>
          <w:sz w:val="24"/>
          <w:lang w:bidi="ar"/>
        </w:rPr>
        <w:t>；</w:t>
      </w:r>
    </w:p>
    <w:p w14:paraId="0A95E112"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w:t>
      </w:r>
      <w:r>
        <w:rPr>
          <w:color w:val="000000"/>
          <w:kern w:val="0"/>
          <w:sz w:val="24"/>
          <w:lang w:bidi="ar"/>
        </w:rPr>
        <w:t>3</w:t>
      </w:r>
      <w:r>
        <w:rPr>
          <w:color w:val="000000"/>
          <w:kern w:val="0"/>
          <w:sz w:val="24"/>
          <w:lang w:bidi="ar"/>
        </w:rPr>
        <w:t>）公司发展阶段属成长期且有重大资金支出安排的，进行利润分配时，现金分红在本次利润分配中所占比例最低应达到</w:t>
      </w:r>
      <w:r>
        <w:rPr>
          <w:color w:val="000000"/>
          <w:kern w:val="0"/>
          <w:sz w:val="24"/>
          <w:lang w:bidi="ar"/>
        </w:rPr>
        <w:t>20%</w:t>
      </w:r>
      <w:r>
        <w:rPr>
          <w:color w:val="000000"/>
          <w:kern w:val="0"/>
          <w:sz w:val="24"/>
          <w:lang w:bidi="ar"/>
        </w:rPr>
        <w:t>。</w:t>
      </w:r>
    </w:p>
    <w:p w14:paraId="32E82304"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公司发展阶段不易区分但有重大资金支出安排的，可以按照前项规定处理。</w:t>
      </w:r>
    </w:p>
    <w:p w14:paraId="0E942221"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3</w:t>
      </w:r>
      <w:r>
        <w:rPr>
          <w:color w:val="000000"/>
          <w:kern w:val="0"/>
          <w:sz w:val="24"/>
          <w:lang w:bidi="ar"/>
        </w:rPr>
        <w:t>、在公司营业收入快速增长，现金</w:t>
      </w:r>
      <w:proofErr w:type="gramStart"/>
      <w:r>
        <w:rPr>
          <w:color w:val="000000"/>
          <w:kern w:val="0"/>
          <w:sz w:val="24"/>
          <w:lang w:bidi="ar"/>
        </w:rPr>
        <w:t>流需要</w:t>
      </w:r>
      <w:proofErr w:type="gramEnd"/>
      <w:r>
        <w:rPr>
          <w:color w:val="000000"/>
          <w:kern w:val="0"/>
          <w:sz w:val="24"/>
          <w:lang w:bidi="ar"/>
        </w:rPr>
        <w:t>稳定或补充或董事会认为公司股票价格与股本规模不匹配、发放股票股利有利于公司全体股东整体利益的情况下，可以在满足上述现金股利分配的同时，提出股票股利分配预案，公司采用股票股利进行利润分配的，应当具有公司成长性、每股净资产的摊薄等真实合理因素。</w:t>
      </w:r>
    </w:p>
    <w:p w14:paraId="63EDFF03"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（三）公司利润分配方案的审议程序</w:t>
      </w:r>
    </w:p>
    <w:p w14:paraId="3C5D0AAE"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lastRenderedPageBreak/>
        <w:t>1</w:t>
      </w:r>
      <w:r>
        <w:rPr>
          <w:color w:val="000000"/>
          <w:kern w:val="0"/>
          <w:sz w:val="24"/>
          <w:lang w:bidi="ar"/>
        </w:rPr>
        <w:t>、公司具体利润分配方案由董事会向股东大会提出，董事会提出的利润分配方案</w:t>
      </w:r>
      <w:proofErr w:type="gramStart"/>
      <w:r>
        <w:rPr>
          <w:color w:val="000000"/>
          <w:kern w:val="0"/>
          <w:sz w:val="24"/>
          <w:lang w:bidi="ar"/>
        </w:rPr>
        <w:t>需独立</w:t>
      </w:r>
      <w:proofErr w:type="gramEnd"/>
      <w:r>
        <w:rPr>
          <w:color w:val="000000"/>
          <w:kern w:val="0"/>
          <w:sz w:val="24"/>
          <w:lang w:bidi="ar"/>
        </w:rPr>
        <w:t>董事发表意见并经监事会审议通过；利润分配方案需提交公司股东大会审议批准。</w:t>
      </w:r>
    </w:p>
    <w:p w14:paraId="586F80F6"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2</w:t>
      </w:r>
      <w:r>
        <w:rPr>
          <w:color w:val="000000"/>
          <w:kern w:val="0"/>
          <w:sz w:val="24"/>
          <w:lang w:bidi="ar"/>
        </w:rPr>
        <w:t>、独立董事可以征集中小股东的意见，提出分红预案，并直接提交董事会审议。</w:t>
      </w:r>
    </w:p>
    <w:p w14:paraId="48B34FB5"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3</w:t>
      </w:r>
      <w:r>
        <w:rPr>
          <w:color w:val="000000"/>
          <w:kern w:val="0"/>
          <w:sz w:val="24"/>
          <w:lang w:bidi="ar"/>
        </w:rPr>
        <w:t>、若公司当年度盈利且期末累计未分配利润</w:t>
      </w:r>
      <w:proofErr w:type="gramStart"/>
      <w:r>
        <w:rPr>
          <w:color w:val="000000"/>
          <w:kern w:val="0"/>
          <w:sz w:val="24"/>
          <w:lang w:bidi="ar"/>
        </w:rPr>
        <w:t>为正但未</w:t>
      </w:r>
      <w:proofErr w:type="gramEnd"/>
      <w:r>
        <w:rPr>
          <w:color w:val="000000"/>
          <w:kern w:val="0"/>
          <w:sz w:val="24"/>
          <w:lang w:bidi="ar"/>
        </w:rPr>
        <w:t>提出现金利润分配预案或现金分红水平较低的，董事会应就未进行现金分红的原因、未用于分红的资金留存公司的确切用途以及收益情况进行详细说明，并经独立董事对未进行现金分红或现金分红水平较低的合理性发表意见后提交股东大会审议，且为中小股东参与决策提供便利，公司还应在定期报告中对上述事项进行相应说明。</w:t>
      </w:r>
    </w:p>
    <w:p w14:paraId="2205B3A3"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4</w:t>
      </w:r>
      <w:r>
        <w:rPr>
          <w:color w:val="000000"/>
          <w:kern w:val="0"/>
          <w:sz w:val="24"/>
          <w:lang w:bidi="ar"/>
        </w:rPr>
        <w:t>、公司应做好投资者关系管理，通过多种渠道与股东特别是中小股东进行沟通和交流，充分听取中小股东的意见和诉求，并及时答复中小股东关心的问题。</w:t>
      </w:r>
    </w:p>
    <w:p w14:paraId="4FC948BC"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（四）股利分配政策的变更</w:t>
      </w:r>
    </w:p>
    <w:p w14:paraId="77F829F0"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1</w:t>
      </w:r>
      <w:r>
        <w:rPr>
          <w:color w:val="000000"/>
          <w:kern w:val="0"/>
          <w:sz w:val="24"/>
          <w:lang w:bidi="ar"/>
        </w:rPr>
        <w:t>、公司应保持利润分配政策的连续性、稳定性。如出现不可抗力、重大情势变更、有关部门关于利润分配的政策调整等外部经营环境发生重大变化的情况、或公司自身经营状况发生重大变化，公司需要调整利润分配政策的，应由公司董事会根据实际情况提出利润分配政策调整议案，调整后的利润分配政策不得违反中国证监会和上海证券交易所的有关规定。</w:t>
      </w:r>
    </w:p>
    <w:p w14:paraId="066DCDA2"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2</w:t>
      </w:r>
      <w:r>
        <w:rPr>
          <w:color w:val="000000"/>
          <w:kern w:val="0"/>
          <w:sz w:val="24"/>
          <w:lang w:bidi="ar"/>
        </w:rPr>
        <w:t>、董事会需在公司利润分配政策调整方案中详细论证和说明原因，利润分配政策调整议案需经二分之一以上独立董事表决通过且经监事会审议通过，并提交股东大会审议，经出席股东大会的股东所持表决权的三分之二以上通过。审议利润分配政策变更事项时，公司为股东提供网络投票方式。</w:t>
      </w:r>
      <w:r>
        <w:rPr>
          <w:color w:val="000000"/>
          <w:kern w:val="0"/>
          <w:sz w:val="24"/>
          <w:lang w:bidi="ar"/>
        </w:rPr>
        <w:t>”</w:t>
      </w:r>
    </w:p>
    <w:p w14:paraId="3D7673A1" w14:textId="77777777" w:rsidR="00D26039" w:rsidRDefault="00B30650">
      <w:pPr>
        <w:pStyle w:val="2"/>
        <w:autoSpaceDE w:val="0"/>
        <w:spacing w:beforeLines="50" w:before="156" w:afterLines="50" w:after="156" w:line="360" w:lineRule="auto"/>
        <w:rPr>
          <w:rFonts w:ascii="Times New Roman" w:hAnsi="Times New Roman"/>
          <w:kern w:val="0"/>
          <w:szCs w:val="28"/>
        </w:rPr>
      </w:pPr>
      <w:bookmarkStart w:id="96" w:name="_Toc5700"/>
      <w:bookmarkStart w:id="97" w:name="_Toc17609"/>
      <w:bookmarkStart w:id="98" w:name="_Toc111905432"/>
      <w:r>
        <w:rPr>
          <w:rFonts w:ascii="Times New Roman" w:hAnsi="Times New Roman"/>
          <w:kern w:val="0"/>
          <w:szCs w:val="28"/>
        </w:rPr>
        <w:t>二、公司股利分配情况</w:t>
      </w:r>
      <w:bookmarkEnd w:id="96"/>
      <w:bookmarkEnd w:id="97"/>
      <w:bookmarkEnd w:id="98"/>
    </w:p>
    <w:p w14:paraId="043EAEAD"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（一）报告期内公司利润分配情况</w:t>
      </w:r>
    </w:p>
    <w:p w14:paraId="73BFC563" w14:textId="77777777" w:rsidR="00D26039" w:rsidRDefault="00B30650">
      <w:pPr>
        <w:spacing w:beforeLines="50" w:before="156" w:afterLines="50" w:after="156" w:line="360" w:lineRule="auto"/>
        <w:ind w:firstLineChars="200" w:firstLine="480"/>
        <w:rPr>
          <w:kern w:val="0"/>
          <w:sz w:val="24"/>
        </w:rPr>
      </w:pPr>
      <w:r>
        <w:rPr>
          <w:kern w:val="0"/>
          <w:sz w:val="24"/>
        </w:rPr>
        <w:t>鉴于</w:t>
      </w:r>
      <w:r>
        <w:rPr>
          <w:kern w:val="0"/>
          <w:sz w:val="24"/>
        </w:rPr>
        <w:t>2019-2021</w:t>
      </w:r>
      <w:r>
        <w:rPr>
          <w:kern w:val="0"/>
          <w:sz w:val="24"/>
        </w:rPr>
        <w:t>年度母公司可供股东分配利润为负，公司</w:t>
      </w:r>
      <w:r>
        <w:rPr>
          <w:kern w:val="0"/>
          <w:sz w:val="24"/>
        </w:rPr>
        <w:t>2019-2021</w:t>
      </w:r>
      <w:r>
        <w:rPr>
          <w:kern w:val="0"/>
          <w:sz w:val="24"/>
        </w:rPr>
        <w:t>各年年度股东大会</w:t>
      </w:r>
      <w:proofErr w:type="gramStart"/>
      <w:r>
        <w:rPr>
          <w:kern w:val="0"/>
          <w:sz w:val="24"/>
        </w:rPr>
        <w:t>作出</w:t>
      </w:r>
      <w:proofErr w:type="gramEnd"/>
      <w:r>
        <w:rPr>
          <w:kern w:val="0"/>
          <w:sz w:val="24"/>
        </w:rPr>
        <w:t>决议，当年不进行利润分配，亦不实施资本公积金转增股本。</w:t>
      </w:r>
    </w:p>
    <w:p w14:paraId="1F045D0E"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lastRenderedPageBreak/>
        <w:t>（二）报告期内公司现金股利分配情况</w:t>
      </w:r>
    </w:p>
    <w:p w14:paraId="05729FC1" w14:textId="77777777" w:rsidR="00D26039" w:rsidRDefault="00B30650">
      <w:pPr>
        <w:spacing w:beforeLines="50" w:before="156" w:afterLines="50" w:after="156" w:line="360" w:lineRule="auto"/>
        <w:ind w:firstLineChars="200" w:firstLine="480"/>
        <w:rPr>
          <w:kern w:val="0"/>
          <w:sz w:val="24"/>
        </w:rPr>
      </w:pPr>
      <w:r>
        <w:rPr>
          <w:kern w:val="0"/>
          <w:sz w:val="24"/>
        </w:rPr>
        <w:t>公司</w:t>
      </w:r>
      <w:r>
        <w:rPr>
          <w:kern w:val="0"/>
          <w:sz w:val="24"/>
        </w:rPr>
        <w:t>2019-2021</w:t>
      </w:r>
      <w:r>
        <w:rPr>
          <w:kern w:val="0"/>
          <w:sz w:val="24"/>
        </w:rPr>
        <w:t>年未进行普通股现金分红。</w:t>
      </w:r>
    </w:p>
    <w:p w14:paraId="19677566" w14:textId="71C34850" w:rsidR="00D26039" w:rsidRDefault="00B30650">
      <w:pPr>
        <w:pStyle w:val="2"/>
        <w:autoSpaceDE w:val="0"/>
        <w:spacing w:beforeLines="50" w:before="156" w:afterLines="50" w:after="156" w:line="360" w:lineRule="auto"/>
        <w:rPr>
          <w:rFonts w:ascii="Times New Roman" w:hAnsi="Times New Roman"/>
          <w:kern w:val="0"/>
          <w:szCs w:val="28"/>
        </w:rPr>
      </w:pPr>
      <w:bookmarkStart w:id="99" w:name="_Toc111905433"/>
      <w:r>
        <w:rPr>
          <w:rFonts w:ascii="Times New Roman" w:hAnsi="Times New Roman"/>
          <w:kern w:val="0"/>
          <w:szCs w:val="28"/>
        </w:rPr>
        <w:t>三、公司未来三年（</w:t>
      </w:r>
      <w:r>
        <w:rPr>
          <w:rFonts w:ascii="Times New Roman" w:hAnsi="Times New Roman"/>
          <w:kern w:val="0"/>
          <w:szCs w:val="28"/>
        </w:rPr>
        <w:t>2022</w:t>
      </w:r>
      <w:r w:rsidR="00044CA0">
        <w:rPr>
          <w:rFonts w:ascii="Times New Roman" w:hAnsi="Times New Roman" w:hint="eastAsia"/>
          <w:kern w:val="0"/>
          <w:szCs w:val="28"/>
        </w:rPr>
        <w:t>年</w:t>
      </w:r>
      <w:r>
        <w:rPr>
          <w:rFonts w:ascii="Times New Roman" w:hAnsi="Times New Roman"/>
          <w:kern w:val="0"/>
          <w:szCs w:val="28"/>
        </w:rPr>
        <w:t>-2024</w:t>
      </w:r>
      <w:r>
        <w:rPr>
          <w:rFonts w:ascii="Times New Roman" w:hAnsi="Times New Roman"/>
          <w:kern w:val="0"/>
          <w:szCs w:val="28"/>
        </w:rPr>
        <w:t>年）股东</w:t>
      </w:r>
      <w:bookmarkEnd w:id="99"/>
      <w:r w:rsidR="005B321A">
        <w:rPr>
          <w:rFonts w:ascii="Times New Roman" w:hAnsi="Times New Roman"/>
          <w:kern w:val="0"/>
          <w:szCs w:val="28"/>
        </w:rPr>
        <w:t>回报规划</w:t>
      </w:r>
    </w:p>
    <w:p w14:paraId="310F8C11"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（一）制订股东回报规划的目的</w:t>
      </w:r>
    </w:p>
    <w:p w14:paraId="3C7D42FD" w14:textId="77777777" w:rsidR="00D26039" w:rsidRDefault="00B30650">
      <w:pPr>
        <w:spacing w:beforeLines="50" w:before="156" w:afterLines="50" w:after="156" w:line="360" w:lineRule="auto"/>
        <w:ind w:firstLineChars="200" w:firstLine="480"/>
        <w:rPr>
          <w:sz w:val="24"/>
        </w:rPr>
      </w:pPr>
      <w:r>
        <w:rPr>
          <w:sz w:val="24"/>
        </w:rPr>
        <w:t>公司着眼于长远和可持续发展，综合考虑公司发展战略、经营情况、经营目标、资金成本、融资环境、股东诉求和意愿等因素，建立对投资者持续、稳定、科学的回报规划和机制，增强公司现金分红的透明性，旨在进一步规范公司的利润分配行为，确定合理的利润分配方案。</w:t>
      </w:r>
    </w:p>
    <w:p w14:paraId="2C7FC372" w14:textId="77777777" w:rsidR="00D26039" w:rsidRDefault="00B30650">
      <w:pPr>
        <w:autoSpaceDE w:val="0"/>
        <w:spacing w:beforeLines="50" w:before="156" w:afterLines="50" w:after="156" w:line="360" w:lineRule="auto"/>
        <w:ind w:firstLineChars="200" w:firstLine="482"/>
        <w:rPr>
          <w:rFonts w:ascii="黑体" w:eastAsia="黑体" w:hAnsi="黑体"/>
          <w:b/>
          <w:bCs/>
          <w:kern w:val="0"/>
          <w:sz w:val="24"/>
        </w:rPr>
      </w:pPr>
      <w:r>
        <w:rPr>
          <w:rFonts w:eastAsia="黑体"/>
          <w:b/>
          <w:bCs/>
          <w:kern w:val="0"/>
          <w:sz w:val="24"/>
        </w:rPr>
        <w:t>（</w:t>
      </w:r>
      <w:r>
        <w:rPr>
          <w:rFonts w:eastAsia="黑体" w:hint="eastAsia"/>
          <w:b/>
          <w:bCs/>
          <w:kern w:val="0"/>
          <w:sz w:val="24"/>
        </w:rPr>
        <w:t>二</w:t>
      </w:r>
      <w:r>
        <w:rPr>
          <w:rFonts w:eastAsia="黑体"/>
          <w:b/>
          <w:bCs/>
          <w:kern w:val="0"/>
          <w:sz w:val="24"/>
        </w:rPr>
        <w:t>）</w:t>
      </w:r>
      <w:r>
        <w:rPr>
          <w:rFonts w:ascii="黑体" w:eastAsia="黑体" w:hAnsi="黑体"/>
          <w:b/>
          <w:bCs/>
          <w:kern w:val="0"/>
          <w:sz w:val="24"/>
        </w:rPr>
        <w:t>制订股东回报规划的主要原则</w:t>
      </w:r>
    </w:p>
    <w:p w14:paraId="3C79B698" w14:textId="77777777" w:rsidR="00D26039" w:rsidRDefault="00B30650">
      <w:pPr>
        <w:spacing w:beforeLines="50" w:before="156" w:afterLines="50" w:after="156" w:line="360" w:lineRule="auto"/>
        <w:ind w:firstLineChars="200" w:firstLine="480"/>
        <w:rPr>
          <w:sz w:val="24"/>
        </w:rPr>
      </w:pPr>
      <w:r>
        <w:rPr>
          <w:sz w:val="24"/>
        </w:rPr>
        <w:t>1</w:t>
      </w:r>
      <w:r>
        <w:rPr>
          <w:sz w:val="24"/>
        </w:rPr>
        <w:t>、严格遵守相关法律法规、规范性文件、监管要求以及《公司章程》等规定。</w:t>
      </w:r>
    </w:p>
    <w:p w14:paraId="245EB851" w14:textId="77777777" w:rsidR="00D26039" w:rsidRDefault="00B30650">
      <w:pPr>
        <w:spacing w:beforeLines="50" w:before="156" w:afterLines="50" w:after="156" w:line="360" w:lineRule="auto"/>
        <w:ind w:firstLineChars="200" w:firstLine="480"/>
        <w:rPr>
          <w:sz w:val="24"/>
        </w:rPr>
      </w:pPr>
      <w:r>
        <w:rPr>
          <w:sz w:val="24"/>
        </w:rPr>
        <w:t>2</w:t>
      </w:r>
      <w:r>
        <w:rPr>
          <w:sz w:val="24"/>
        </w:rPr>
        <w:t>、充分考虑投资者回报，合理平衡和处理好公司自身稳健发展和回报股东的关系，实施科学、持续、稳定的利润分配政策。</w:t>
      </w:r>
    </w:p>
    <w:p w14:paraId="60D1BFC2" w14:textId="77777777" w:rsidR="00D26039" w:rsidRDefault="00B30650">
      <w:pPr>
        <w:spacing w:beforeLines="50" w:before="156" w:afterLines="50" w:after="156" w:line="360" w:lineRule="auto"/>
        <w:ind w:firstLineChars="200" w:firstLine="480"/>
        <w:rPr>
          <w:sz w:val="24"/>
        </w:rPr>
      </w:pPr>
      <w:r>
        <w:rPr>
          <w:sz w:val="24"/>
        </w:rPr>
        <w:t>3</w:t>
      </w:r>
      <w:r>
        <w:rPr>
          <w:sz w:val="24"/>
        </w:rPr>
        <w:t>、充分考虑和听取股东特别是中小股东、独立董事和监事的意见。</w:t>
      </w:r>
    </w:p>
    <w:p w14:paraId="69B6687D"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（三）制订股东回报规划主要考虑因素</w:t>
      </w:r>
    </w:p>
    <w:p w14:paraId="15D37CA6" w14:textId="65AB5E81" w:rsidR="00D26039" w:rsidRDefault="00B30650">
      <w:pPr>
        <w:spacing w:beforeLines="50" w:before="156" w:afterLines="50" w:after="156" w:line="360" w:lineRule="auto"/>
        <w:ind w:firstLineChars="200" w:firstLine="480"/>
        <w:rPr>
          <w:sz w:val="24"/>
        </w:rPr>
      </w:pPr>
      <w:r>
        <w:rPr>
          <w:sz w:val="24"/>
        </w:rPr>
        <w:t>着眼于公司长远和可持续发展，在综合分析公司发展战略、经营情况、经营目标、资金成本、融资环境、股东诉求和意愿等因素的基础上，充分考虑公司目前及未来盈利状况、现金流状况、发展所处阶段、项目投资资金需求等情况，平衡股东的合理投资回报和公司长远发展的基础上做出安排，健全公司利润分配的制度化建设，以保证利润分配政策的连续性、科学性和稳定性。</w:t>
      </w:r>
    </w:p>
    <w:p w14:paraId="6D619BBB" w14:textId="0C814CFD"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（四）公司未来三年（</w:t>
      </w:r>
      <w:r>
        <w:rPr>
          <w:rFonts w:eastAsia="黑体"/>
          <w:b/>
          <w:bCs/>
          <w:kern w:val="0"/>
          <w:sz w:val="24"/>
        </w:rPr>
        <w:t>2022</w:t>
      </w:r>
      <w:r w:rsidR="00044CA0">
        <w:rPr>
          <w:rFonts w:eastAsia="黑体" w:hint="eastAsia"/>
          <w:b/>
          <w:bCs/>
          <w:kern w:val="0"/>
          <w:sz w:val="24"/>
        </w:rPr>
        <w:t>年</w:t>
      </w:r>
      <w:r>
        <w:rPr>
          <w:rFonts w:eastAsia="黑体"/>
          <w:b/>
          <w:bCs/>
          <w:kern w:val="0"/>
          <w:sz w:val="24"/>
        </w:rPr>
        <w:t>-2024</w:t>
      </w:r>
      <w:r>
        <w:rPr>
          <w:rFonts w:eastAsia="黑体"/>
          <w:b/>
          <w:bCs/>
          <w:kern w:val="0"/>
          <w:sz w:val="24"/>
        </w:rPr>
        <w:t>年）股东回报具体规划</w:t>
      </w:r>
    </w:p>
    <w:p w14:paraId="54A05450" w14:textId="77777777" w:rsidR="00D26039" w:rsidRDefault="00B30650">
      <w:pPr>
        <w:spacing w:beforeLines="50" w:before="156" w:afterLines="50" w:after="156" w:line="360" w:lineRule="auto"/>
        <w:ind w:firstLineChars="200" w:firstLine="482"/>
        <w:rPr>
          <w:b/>
          <w:bCs/>
          <w:sz w:val="24"/>
        </w:rPr>
      </w:pPr>
      <w:r>
        <w:rPr>
          <w:b/>
          <w:bCs/>
          <w:sz w:val="24"/>
        </w:rPr>
        <w:t>1</w:t>
      </w:r>
      <w:r>
        <w:rPr>
          <w:b/>
          <w:bCs/>
          <w:sz w:val="24"/>
        </w:rPr>
        <w:t>、利润分配的形式</w:t>
      </w:r>
    </w:p>
    <w:p w14:paraId="25CF52D0" w14:textId="77777777" w:rsidR="00D26039" w:rsidRDefault="00B30650">
      <w:pPr>
        <w:spacing w:beforeLines="50" w:before="156" w:afterLines="50" w:after="156" w:line="360" w:lineRule="auto"/>
        <w:ind w:firstLineChars="200" w:firstLine="480"/>
        <w:rPr>
          <w:sz w:val="24"/>
        </w:rPr>
      </w:pPr>
      <w:r>
        <w:rPr>
          <w:color w:val="000000"/>
          <w:kern w:val="0"/>
          <w:sz w:val="24"/>
          <w:lang w:bidi="ar"/>
        </w:rPr>
        <w:t>公司采取现金、股票或者现金股票相结合的方式分配股利，并优先选用现金分红的利润分配方式</w:t>
      </w:r>
      <w:r>
        <w:rPr>
          <w:rFonts w:hint="eastAsia"/>
          <w:color w:val="000000"/>
          <w:kern w:val="0"/>
          <w:sz w:val="24"/>
          <w:lang w:bidi="ar"/>
        </w:rPr>
        <w:t>。</w:t>
      </w:r>
    </w:p>
    <w:p w14:paraId="1DA8AF8F" w14:textId="77777777" w:rsidR="00D26039" w:rsidRDefault="00B30650">
      <w:pPr>
        <w:spacing w:beforeLines="50" w:before="156" w:afterLines="50" w:after="156" w:line="360" w:lineRule="auto"/>
        <w:ind w:firstLineChars="200" w:firstLine="482"/>
        <w:rPr>
          <w:b/>
          <w:bCs/>
          <w:sz w:val="24"/>
        </w:rPr>
      </w:pPr>
      <w:r>
        <w:rPr>
          <w:b/>
          <w:bCs/>
          <w:sz w:val="24"/>
        </w:rPr>
        <w:lastRenderedPageBreak/>
        <w:t>2</w:t>
      </w:r>
      <w:r>
        <w:rPr>
          <w:b/>
          <w:bCs/>
          <w:sz w:val="24"/>
        </w:rPr>
        <w:t>、利润分配期间间隔</w:t>
      </w:r>
    </w:p>
    <w:p w14:paraId="6B63CB0D" w14:textId="77777777" w:rsidR="00D26039" w:rsidRDefault="00B30650">
      <w:pPr>
        <w:spacing w:beforeLines="50" w:before="156" w:afterLines="50" w:after="156" w:line="360" w:lineRule="auto"/>
        <w:ind w:firstLineChars="200" w:firstLine="480"/>
        <w:rPr>
          <w:sz w:val="24"/>
        </w:rPr>
      </w:pPr>
      <w:r>
        <w:rPr>
          <w:rFonts w:hint="eastAsia"/>
          <w:sz w:val="24"/>
        </w:rPr>
        <w:t>在符合利润分配的条件下</w:t>
      </w:r>
      <w:r>
        <w:rPr>
          <w:sz w:val="24"/>
        </w:rPr>
        <w:t>，</w:t>
      </w:r>
      <w:r>
        <w:rPr>
          <w:rFonts w:hint="eastAsia"/>
          <w:sz w:val="24"/>
        </w:rPr>
        <w:t>公司</w:t>
      </w:r>
      <w:r>
        <w:rPr>
          <w:sz w:val="24"/>
        </w:rPr>
        <w:t>原则上</w:t>
      </w:r>
      <w:r>
        <w:rPr>
          <w:rFonts w:hint="eastAsia"/>
          <w:sz w:val="24"/>
        </w:rPr>
        <w:t>每年度进行一次利润分配</w:t>
      </w:r>
      <w:r>
        <w:rPr>
          <w:sz w:val="24"/>
        </w:rPr>
        <w:t>。</w:t>
      </w:r>
      <w:r>
        <w:rPr>
          <w:color w:val="000000"/>
          <w:kern w:val="0"/>
          <w:sz w:val="24"/>
          <w:lang w:bidi="ar"/>
        </w:rPr>
        <w:t>在条件允许的情形下，</w:t>
      </w:r>
      <w:r>
        <w:rPr>
          <w:sz w:val="24"/>
        </w:rPr>
        <w:t>公司董事会也可以根据公司的盈利状况和资金状况提议进行中期利润分配。</w:t>
      </w:r>
    </w:p>
    <w:p w14:paraId="6E71A436" w14:textId="77777777" w:rsidR="00D26039" w:rsidRDefault="00B30650">
      <w:pPr>
        <w:spacing w:beforeLines="50" w:before="156" w:afterLines="50" w:after="156" w:line="360" w:lineRule="auto"/>
        <w:ind w:firstLineChars="200" w:firstLine="482"/>
        <w:rPr>
          <w:b/>
          <w:bCs/>
          <w:sz w:val="24"/>
        </w:rPr>
      </w:pPr>
      <w:r>
        <w:rPr>
          <w:b/>
          <w:bCs/>
          <w:sz w:val="24"/>
        </w:rPr>
        <w:t>3</w:t>
      </w:r>
      <w:r>
        <w:rPr>
          <w:b/>
          <w:bCs/>
          <w:sz w:val="24"/>
        </w:rPr>
        <w:t>、现金分红的条件及比例</w:t>
      </w:r>
    </w:p>
    <w:p w14:paraId="18B59A70" w14:textId="77777777" w:rsidR="00D26039" w:rsidRDefault="00B30650">
      <w:pPr>
        <w:spacing w:beforeLines="50" w:before="156" w:afterLines="50" w:after="156" w:line="360" w:lineRule="auto"/>
        <w:ind w:firstLineChars="200" w:firstLine="480"/>
        <w:rPr>
          <w:sz w:val="24"/>
        </w:rPr>
      </w:pPr>
      <w:r>
        <w:rPr>
          <w:rFonts w:hint="eastAsia"/>
          <w:sz w:val="24"/>
        </w:rPr>
        <w:t>在满足公司持续生产经营资金需求的情况下，且无重大投资计划或重大现金支出等事项发生，公司应当采取现金方式分配股利，公司每年以现金形式分配的利润不少于所分配年度实现的可分配利润的</w:t>
      </w:r>
      <w:r>
        <w:rPr>
          <w:rFonts w:hint="eastAsia"/>
          <w:sz w:val="24"/>
        </w:rPr>
        <w:t>20%</w:t>
      </w:r>
      <w:r>
        <w:rPr>
          <w:sz w:val="24"/>
        </w:rPr>
        <w:t>。每年具体的现金分红比例预案由董事会根据前述规定、结合公司经营状况及相关规定拟定，并提交股东大会表决。</w:t>
      </w:r>
    </w:p>
    <w:p w14:paraId="09F2870B" w14:textId="77777777" w:rsidR="00D26039" w:rsidRDefault="00B30650">
      <w:pPr>
        <w:spacing w:beforeLines="50" w:before="156" w:afterLines="50" w:after="156" w:line="360" w:lineRule="auto"/>
        <w:ind w:firstLineChars="200" w:firstLine="482"/>
        <w:rPr>
          <w:b/>
          <w:bCs/>
          <w:sz w:val="24"/>
        </w:rPr>
      </w:pPr>
      <w:r>
        <w:rPr>
          <w:b/>
          <w:bCs/>
          <w:sz w:val="24"/>
        </w:rPr>
        <w:t>4</w:t>
      </w:r>
      <w:r>
        <w:rPr>
          <w:b/>
          <w:bCs/>
          <w:sz w:val="24"/>
        </w:rPr>
        <w:t>、股票股利分配的条件</w:t>
      </w:r>
    </w:p>
    <w:p w14:paraId="383367FF" w14:textId="77777777" w:rsidR="00D26039" w:rsidRDefault="00B30650">
      <w:pPr>
        <w:spacing w:beforeLines="50" w:before="156" w:afterLines="50" w:after="156" w:line="360" w:lineRule="auto"/>
        <w:ind w:firstLineChars="200" w:firstLine="480"/>
        <w:rPr>
          <w:sz w:val="24"/>
        </w:rPr>
      </w:pPr>
      <w:r>
        <w:rPr>
          <w:sz w:val="24"/>
        </w:rPr>
        <w:t>公司注重股本扩张与业绩增长同步，董事会认为公司股票价格与股本规模不匹配、发放股票股利有利于公司全体股东利益时，可以在满足上述现金分红的条件下，考虑公司成长性、每股净资产的摊薄等真实合理因素的情况下，提出股票股利分配方案。股票股利分配方案由董事会拟定，并提交股东大会表决。</w:t>
      </w:r>
    </w:p>
    <w:p w14:paraId="2729618D" w14:textId="77777777" w:rsidR="00D26039" w:rsidRDefault="00B30650">
      <w:pPr>
        <w:spacing w:beforeLines="50" w:before="156" w:afterLines="50" w:after="156" w:line="360" w:lineRule="auto"/>
        <w:ind w:firstLineChars="200" w:firstLine="482"/>
        <w:rPr>
          <w:b/>
          <w:bCs/>
          <w:sz w:val="24"/>
        </w:rPr>
      </w:pPr>
      <w:r>
        <w:rPr>
          <w:b/>
          <w:bCs/>
          <w:sz w:val="24"/>
        </w:rPr>
        <w:t>5</w:t>
      </w:r>
      <w:r>
        <w:rPr>
          <w:b/>
          <w:bCs/>
          <w:sz w:val="24"/>
        </w:rPr>
        <w:t>、差异化的现金分红政策</w:t>
      </w:r>
    </w:p>
    <w:p w14:paraId="799035BC" w14:textId="77777777" w:rsidR="00D26039" w:rsidRDefault="00B30650">
      <w:pPr>
        <w:spacing w:beforeLines="50" w:before="156" w:afterLines="50" w:after="156" w:line="360" w:lineRule="auto"/>
        <w:ind w:firstLineChars="200" w:firstLine="480"/>
        <w:rPr>
          <w:sz w:val="24"/>
        </w:rPr>
      </w:pPr>
      <w:r>
        <w:rPr>
          <w:sz w:val="24"/>
        </w:rPr>
        <w:t>在实际分红时，公司董事会应当综合考虑所处行业特点、发展阶段、自身经营模式、盈利水平以及是否有重大资金支出安排等因素，区分下列情形，并按照《公司章程》规定的程序，拟定差异化的现金分红政策：</w:t>
      </w:r>
    </w:p>
    <w:p w14:paraId="2C6A737F"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w:t>
      </w:r>
      <w:r>
        <w:rPr>
          <w:color w:val="000000"/>
          <w:kern w:val="0"/>
          <w:sz w:val="24"/>
          <w:lang w:bidi="ar"/>
        </w:rPr>
        <w:t>1</w:t>
      </w:r>
      <w:r>
        <w:rPr>
          <w:color w:val="000000"/>
          <w:kern w:val="0"/>
          <w:sz w:val="24"/>
          <w:lang w:bidi="ar"/>
        </w:rPr>
        <w:t>）公司发展阶段属成熟期且无重大资金支出安排的，进行利润分配时，现金分红在本次利润分配中所占比例最低应达到</w:t>
      </w:r>
      <w:r>
        <w:rPr>
          <w:color w:val="000000"/>
          <w:kern w:val="0"/>
          <w:sz w:val="24"/>
          <w:lang w:bidi="ar"/>
        </w:rPr>
        <w:t>80%</w:t>
      </w:r>
      <w:r>
        <w:rPr>
          <w:color w:val="000000"/>
          <w:kern w:val="0"/>
          <w:sz w:val="24"/>
          <w:lang w:bidi="ar"/>
        </w:rPr>
        <w:t>；</w:t>
      </w:r>
    </w:p>
    <w:p w14:paraId="0ADD8EE7" w14:textId="77777777" w:rsidR="00D26039" w:rsidRDefault="00B30650">
      <w:pPr>
        <w:widowControl/>
        <w:spacing w:beforeLines="50" w:before="156" w:afterLines="50" w:after="156" w:line="360" w:lineRule="auto"/>
        <w:ind w:firstLineChars="200" w:firstLine="480"/>
        <w:rPr>
          <w:color w:val="000000"/>
          <w:kern w:val="0"/>
          <w:sz w:val="24"/>
          <w:lang w:bidi="ar"/>
        </w:rPr>
      </w:pPr>
      <w:r>
        <w:rPr>
          <w:color w:val="000000"/>
          <w:kern w:val="0"/>
          <w:sz w:val="24"/>
          <w:lang w:bidi="ar"/>
        </w:rPr>
        <w:t>（</w:t>
      </w:r>
      <w:r>
        <w:rPr>
          <w:color w:val="000000"/>
          <w:kern w:val="0"/>
          <w:sz w:val="24"/>
          <w:lang w:bidi="ar"/>
        </w:rPr>
        <w:t>2</w:t>
      </w:r>
      <w:r>
        <w:rPr>
          <w:color w:val="000000"/>
          <w:kern w:val="0"/>
          <w:sz w:val="24"/>
          <w:lang w:bidi="ar"/>
        </w:rPr>
        <w:t>）公司发展阶段属成熟期且有重大资金支出安排的，进行利润分配时，现金分红在本次利润分配中所占比例最低应达到</w:t>
      </w:r>
      <w:r>
        <w:rPr>
          <w:color w:val="000000"/>
          <w:kern w:val="0"/>
          <w:sz w:val="24"/>
          <w:lang w:bidi="ar"/>
        </w:rPr>
        <w:t>40%</w:t>
      </w:r>
      <w:r>
        <w:rPr>
          <w:color w:val="000000"/>
          <w:kern w:val="0"/>
          <w:sz w:val="24"/>
          <w:lang w:bidi="ar"/>
        </w:rPr>
        <w:t>；</w:t>
      </w:r>
    </w:p>
    <w:p w14:paraId="70BFFD7F" w14:textId="77777777" w:rsidR="00D26039" w:rsidRDefault="00B30650">
      <w:pPr>
        <w:spacing w:beforeLines="50" w:before="156" w:afterLines="50" w:after="156" w:line="360" w:lineRule="auto"/>
        <w:ind w:firstLineChars="200" w:firstLine="480"/>
        <w:rPr>
          <w:sz w:val="24"/>
        </w:rPr>
      </w:pPr>
      <w:r>
        <w:rPr>
          <w:color w:val="000000"/>
          <w:kern w:val="0"/>
          <w:sz w:val="24"/>
          <w:lang w:bidi="ar"/>
        </w:rPr>
        <w:t>（</w:t>
      </w:r>
      <w:r>
        <w:rPr>
          <w:color w:val="000000"/>
          <w:kern w:val="0"/>
          <w:sz w:val="24"/>
          <w:lang w:bidi="ar"/>
        </w:rPr>
        <w:t>3</w:t>
      </w:r>
      <w:r>
        <w:rPr>
          <w:color w:val="000000"/>
          <w:kern w:val="0"/>
          <w:sz w:val="24"/>
          <w:lang w:bidi="ar"/>
        </w:rPr>
        <w:t>）公司发展阶段属成长期且有重大资金支出安排的，进行利润分配时，现金分红在本次利润分配中所占比例最低应达到</w:t>
      </w:r>
      <w:r>
        <w:rPr>
          <w:color w:val="000000"/>
          <w:kern w:val="0"/>
          <w:sz w:val="24"/>
          <w:lang w:bidi="ar"/>
        </w:rPr>
        <w:t>20%</w:t>
      </w:r>
      <w:r>
        <w:rPr>
          <w:color w:val="000000"/>
          <w:kern w:val="0"/>
          <w:sz w:val="24"/>
          <w:lang w:bidi="ar"/>
        </w:rPr>
        <w:t>；</w:t>
      </w:r>
    </w:p>
    <w:p w14:paraId="106CD937" w14:textId="77777777" w:rsidR="00D26039" w:rsidRDefault="00B30650">
      <w:pPr>
        <w:spacing w:beforeLines="50" w:before="156" w:afterLines="50" w:after="156" w:line="360" w:lineRule="auto"/>
        <w:ind w:firstLineChars="200" w:firstLine="480"/>
        <w:rPr>
          <w:sz w:val="24"/>
        </w:rPr>
      </w:pPr>
      <w:r>
        <w:rPr>
          <w:sz w:val="24"/>
        </w:rPr>
        <w:t>公司在实际分红时根据具体所处阶段，由公司董事会根据具体情形确定。</w:t>
      </w:r>
    </w:p>
    <w:p w14:paraId="3AD5D1FF"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lastRenderedPageBreak/>
        <w:t>（五）利润分配的决策机制</w:t>
      </w:r>
    </w:p>
    <w:p w14:paraId="37E5F443" w14:textId="77777777" w:rsidR="00D26039" w:rsidRDefault="00B30650">
      <w:pPr>
        <w:spacing w:beforeLines="50" w:before="156" w:afterLines="50" w:after="156" w:line="360" w:lineRule="auto"/>
        <w:ind w:firstLineChars="200" w:firstLine="480"/>
        <w:rPr>
          <w:sz w:val="24"/>
        </w:rPr>
      </w:pPr>
      <w:r>
        <w:rPr>
          <w:sz w:val="24"/>
        </w:rPr>
        <w:t>1</w:t>
      </w:r>
      <w:r>
        <w:rPr>
          <w:sz w:val="24"/>
        </w:rPr>
        <w:t>、董事会应当根据公司所处的行业特点、发展阶段、经营情况和未来的生产经营计划，充分考虑公司盈利规模、现金流状况、项目投资安排和股东回报规划等因素，制定科学、合理的年度或中期利润分配方案；制订现金分红具体方案时，应当认真研究和论证现金分红的时机、条件和最低比例、调整的条件及其决策程序要求等，独立董事应当发表明确意见。</w:t>
      </w:r>
    </w:p>
    <w:p w14:paraId="0BD872E7" w14:textId="77777777" w:rsidR="00D26039" w:rsidRDefault="00B30650">
      <w:pPr>
        <w:spacing w:beforeLines="50" w:before="156" w:afterLines="50" w:after="156" w:line="360" w:lineRule="auto"/>
        <w:ind w:firstLineChars="200" w:firstLine="480"/>
        <w:rPr>
          <w:sz w:val="24"/>
        </w:rPr>
      </w:pPr>
      <w:r>
        <w:rPr>
          <w:sz w:val="24"/>
        </w:rPr>
        <w:t>2</w:t>
      </w:r>
      <w:r>
        <w:rPr>
          <w:sz w:val="24"/>
        </w:rPr>
        <w:t>、董事会制订的利润分配方案，需取得全体独立董事过半数同意并由董事会审议通过后提交公司股东大会审议。股东大会对利润分配方案进行审议前，公司应当通过多种渠道主动与股东特别是中小股东进行沟通和交流（包括但不限于电话、传真、邮件沟通或邀请中小股东参会等），充分听取中小股东的意见和利益诉求，并及时答复中小股东关心的问题。</w:t>
      </w:r>
    </w:p>
    <w:p w14:paraId="09BCC31D" w14:textId="77777777" w:rsidR="00D26039" w:rsidRDefault="00B30650">
      <w:pPr>
        <w:spacing w:beforeLines="50" w:before="156" w:afterLines="50" w:after="156" w:line="360" w:lineRule="auto"/>
        <w:ind w:firstLineChars="200" w:firstLine="480"/>
        <w:rPr>
          <w:sz w:val="24"/>
        </w:rPr>
      </w:pPr>
      <w:r>
        <w:rPr>
          <w:sz w:val="24"/>
        </w:rPr>
        <w:t>对于年度盈利但未提出现金分红方案的，公司在召开股东大会时除现场会议外，还应向股东提供网络形式的投票平台。</w:t>
      </w:r>
    </w:p>
    <w:p w14:paraId="2995F60B" w14:textId="77777777" w:rsidR="00D26039" w:rsidRDefault="00B30650">
      <w:pPr>
        <w:spacing w:beforeLines="50" w:before="156" w:afterLines="50" w:after="156" w:line="360" w:lineRule="auto"/>
        <w:ind w:firstLineChars="200" w:firstLine="480"/>
        <w:rPr>
          <w:sz w:val="24"/>
        </w:rPr>
      </w:pPr>
      <w:r>
        <w:rPr>
          <w:sz w:val="24"/>
        </w:rPr>
        <w:t>3</w:t>
      </w:r>
      <w:r>
        <w:rPr>
          <w:sz w:val="24"/>
        </w:rPr>
        <w:t>、公司股东大会对利润分配方案</w:t>
      </w:r>
      <w:proofErr w:type="gramStart"/>
      <w:r>
        <w:rPr>
          <w:sz w:val="24"/>
        </w:rPr>
        <w:t>作出</w:t>
      </w:r>
      <w:proofErr w:type="gramEnd"/>
      <w:r>
        <w:rPr>
          <w:sz w:val="24"/>
        </w:rPr>
        <w:t>决议后，公司董事会须在股东大会召开后</w:t>
      </w:r>
      <w:r>
        <w:rPr>
          <w:sz w:val="24"/>
        </w:rPr>
        <w:t>2</w:t>
      </w:r>
      <w:r>
        <w:rPr>
          <w:sz w:val="24"/>
        </w:rPr>
        <w:t>个月内完成股利（或股份）的派发事项。</w:t>
      </w:r>
    </w:p>
    <w:p w14:paraId="790CDAE9"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（六）利润分配政策的调整机制</w:t>
      </w:r>
    </w:p>
    <w:p w14:paraId="7D371174" w14:textId="77777777" w:rsidR="00D26039" w:rsidRDefault="00B30650">
      <w:pPr>
        <w:spacing w:beforeLines="50" w:before="156" w:afterLines="50" w:after="156" w:line="360" w:lineRule="auto"/>
        <w:ind w:firstLineChars="200" w:firstLine="480"/>
        <w:rPr>
          <w:sz w:val="24"/>
        </w:rPr>
      </w:pPr>
      <w:r>
        <w:rPr>
          <w:sz w:val="24"/>
        </w:rPr>
        <w:t>公司的利润分配政策不得随意改变。在公司发生亏损、资金紧张、按照既定分红政策执行将导致公司重大投资项目、重大交易无法实施、董事会有合理理由相信按照既定分红政策执行将对公司持续经营或保持盈利能力构成实质性不利影响等情况出现时，公司可对既定利润分配政策进行调整或变更。</w:t>
      </w:r>
    </w:p>
    <w:p w14:paraId="44A5963D" w14:textId="77777777" w:rsidR="00D26039" w:rsidRDefault="00B30650">
      <w:pPr>
        <w:spacing w:beforeLines="50" w:before="156" w:afterLines="50" w:after="156" w:line="360" w:lineRule="auto"/>
        <w:ind w:firstLineChars="200" w:firstLine="480"/>
        <w:rPr>
          <w:sz w:val="24"/>
        </w:rPr>
      </w:pPr>
      <w:r>
        <w:rPr>
          <w:sz w:val="24"/>
        </w:rPr>
        <w:t>调整、变更后的利润分配政策不得违反相关法律法规以及中国证监会、证</w:t>
      </w:r>
      <w:proofErr w:type="gramStart"/>
      <w:r>
        <w:rPr>
          <w:sz w:val="24"/>
        </w:rPr>
        <w:t>劵</w:t>
      </w:r>
      <w:proofErr w:type="gramEnd"/>
      <w:r>
        <w:rPr>
          <w:sz w:val="24"/>
        </w:rPr>
        <w:t>交易所的有关规定。</w:t>
      </w:r>
    </w:p>
    <w:p w14:paraId="1F8168D2" w14:textId="77777777" w:rsidR="00D26039" w:rsidRDefault="00B30650">
      <w:pPr>
        <w:spacing w:beforeLines="50" w:before="156" w:afterLines="50" w:after="156" w:line="360" w:lineRule="auto"/>
        <w:ind w:firstLineChars="200" w:firstLine="480"/>
        <w:rPr>
          <w:rFonts w:eastAsia="黑体"/>
          <w:b/>
          <w:bCs/>
          <w:kern w:val="0"/>
          <w:sz w:val="28"/>
          <w:szCs w:val="28"/>
        </w:rPr>
      </w:pPr>
      <w:r>
        <w:rPr>
          <w:sz w:val="24"/>
        </w:rPr>
        <w:t>公司如调整利润分配政策、具体规划和计划及制定利润分配方案时</w:t>
      </w:r>
      <w:r>
        <w:rPr>
          <w:rFonts w:hint="eastAsia"/>
          <w:sz w:val="24"/>
        </w:rPr>
        <w:t>，</w:t>
      </w:r>
      <w:r>
        <w:rPr>
          <w:sz w:val="24"/>
        </w:rPr>
        <w:t>应充分听取独立董事、监事和公众投资者意见。公司利润分配政策的制订和修改由公司董事会向公司股东大会提出，董事会提出的利润分配政策须经董事会审议通过且经过半数的独立董事同意。公司监事会应当对董事会制订和修改的利润分配政策进行审议，并且经半数以上监事表决通过。公司应安排通过证券交易所交易系统、</w:t>
      </w:r>
      <w:r>
        <w:rPr>
          <w:sz w:val="24"/>
        </w:rPr>
        <w:lastRenderedPageBreak/>
        <w:t>互联网投票系统等网络投票方式为社会公众股东参加股东大会提供便利。公司独立董事可在股东大会召开前向公司社会公众股股东征集其在股东大会上的投票权</w:t>
      </w:r>
      <w:r>
        <w:rPr>
          <w:rFonts w:hint="eastAsia"/>
          <w:sz w:val="24"/>
        </w:rPr>
        <w:t>，</w:t>
      </w:r>
      <w:r>
        <w:rPr>
          <w:sz w:val="24"/>
        </w:rPr>
        <w:t>独立董事行使上述职权应当取得全体独立董事的二分之一以上同意。公司调整利润分配政策的议案须由股东大会以特别决议通过。</w:t>
      </w:r>
    </w:p>
    <w:p w14:paraId="429EFEC8" w14:textId="77777777" w:rsidR="00D26039" w:rsidRDefault="00D26039">
      <w:pPr>
        <w:pStyle w:val="1"/>
        <w:autoSpaceDE w:val="0"/>
        <w:sectPr w:rsidR="00D26039">
          <w:pgSz w:w="11906" w:h="16838"/>
          <w:pgMar w:top="1440" w:right="1800" w:bottom="1440" w:left="1800" w:header="851" w:footer="992" w:gutter="0"/>
          <w:cols w:space="425"/>
          <w:docGrid w:type="lines" w:linePitch="312"/>
        </w:sectPr>
      </w:pPr>
    </w:p>
    <w:p w14:paraId="68A104DD" w14:textId="77777777" w:rsidR="00D26039" w:rsidRDefault="00B30650">
      <w:pPr>
        <w:keepNext/>
        <w:keepLines/>
        <w:autoSpaceDE w:val="0"/>
        <w:spacing w:beforeLines="50" w:before="156" w:afterLines="50" w:after="156" w:line="360" w:lineRule="auto"/>
        <w:jc w:val="center"/>
        <w:outlineLvl w:val="0"/>
        <w:rPr>
          <w:rFonts w:eastAsia="黑体"/>
          <w:b/>
          <w:bCs/>
          <w:kern w:val="44"/>
          <w:sz w:val="32"/>
          <w:szCs w:val="32"/>
        </w:rPr>
      </w:pPr>
      <w:bookmarkStart w:id="100" w:name="_Toc111905434"/>
      <w:r>
        <w:rPr>
          <w:rFonts w:eastAsia="黑体" w:hint="eastAsia"/>
          <w:b/>
          <w:bCs/>
          <w:kern w:val="44"/>
          <w:sz w:val="32"/>
          <w:szCs w:val="32"/>
        </w:rPr>
        <w:lastRenderedPageBreak/>
        <w:t>第七节</w:t>
      </w:r>
      <w:r>
        <w:rPr>
          <w:rFonts w:eastAsia="黑体" w:hint="eastAsia"/>
          <w:b/>
          <w:bCs/>
          <w:kern w:val="44"/>
          <w:sz w:val="32"/>
          <w:szCs w:val="32"/>
        </w:rPr>
        <w:t xml:space="preserve">  </w:t>
      </w:r>
      <w:r>
        <w:rPr>
          <w:rFonts w:eastAsia="黑体" w:hint="eastAsia"/>
          <w:b/>
          <w:bCs/>
          <w:kern w:val="44"/>
          <w:sz w:val="32"/>
          <w:szCs w:val="32"/>
        </w:rPr>
        <w:t>关于本次非公开发行股票摊薄即期回报的风险提示及拟采取的填补措施</w:t>
      </w:r>
      <w:bookmarkEnd w:id="100"/>
    </w:p>
    <w:p w14:paraId="044473B2" w14:textId="77777777" w:rsidR="00D26039" w:rsidRDefault="00B30650">
      <w:pPr>
        <w:pStyle w:val="2"/>
        <w:autoSpaceDE w:val="0"/>
        <w:spacing w:beforeLines="50" w:before="156" w:afterLines="50" w:after="156" w:line="360" w:lineRule="auto"/>
        <w:rPr>
          <w:rFonts w:ascii="Times New Roman" w:hAnsi="Times New Roman"/>
          <w:szCs w:val="28"/>
        </w:rPr>
      </w:pPr>
      <w:bookmarkStart w:id="101" w:name="_Toc111905435"/>
      <w:r>
        <w:rPr>
          <w:rFonts w:ascii="Times New Roman" w:hAnsi="Times New Roman" w:hint="eastAsia"/>
          <w:szCs w:val="28"/>
        </w:rPr>
        <w:t>一</w:t>
      </w:r>
      <w:r>
        <w:rPr>
          <w:rFonts w:ascii="Times New Roman" w:hAnsi="Times New Roman"/>
          <w:szCs w:val="28"/>
        </w:rPr>
        <w:t>、</w:t>
      </w:r>
      <w:r>
        <w:rPr>
          <w:rFonts w:ascii="Times New Roman" w:hAnsi="Times New Roman" w:hint="eastAsia"/>
          <w:szCs w:val="28"/>
        </w:rPr>
        <w:t>本次非公开发行摊薄即期回报对公司主要财务指标的影响</w:t>
      </w:r>
      <w:bookmarkEnd w:id="101"/>
    </w:p>
    <w:p w14:paraId="51172C3C"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（一）测算的假设前提</w:t>
      </w:r>
    </w:p>
    <w:p w14:paraId="0108D8F6" w14:textId="77777777" w:rsidR="00D26039" w:rsidRDefault="00B30650">
      <w:pPr>
        <w:autoSpaceDE w:val="0"/>
        <w:spacing w:beforeLines="50" w:before="156" w:afterLines="50" w:after="156" w:line="360" w:lineRule="auto"/>
        <w:ind w:firstLineChars="200" w:firstLine="480"/>
        <w:rPr>
          <w:rFonts w:ascii="宋体" w:hAnsi="宋体"/>
          <w:sz w:val="24"/>
        </w:rPr>
      </w:pPr>
      <w:r>
        <w:rPr>
          <w:sz w:val="24"/>
        </w:rPr>
        <w:t>1</w:t>
      </w:r>
      <w:r>
        <w:rPr>
          <w:rFonts w:ascii="宋体" w:hAnsi="宋体"/>
          <w:sz w:val="24"/>
        </w:rPr>
        <w:t>、假设宏观经济环境、产业政策、行业发展状况、产品市场情况等方面未发生重大变化</w:t>
      </w:r>
      <w:r>
        <w:rPr>
          <w:rFonts w:ascii="宋体" w:hAnsi="宋体" w:hint="eastAsia"/>
          <w:sz w:val="24"/>
        </w:rPr>
        <w:t>；</w:t>
      </w:r>
    </w:p>
    <w:p w14:paraId="4B77FCB4" w14:textId="77777777" w:rsidR="00D26039" w:rsidRDefault="00B30650">
      <w:pPr>
        <w:autoSpaceDE w:val="0"/>
        <w:spacing w:beforeLines="50" w:before="156" w:afterLines="50" w:after="156" w:line="360" w:lineRule="auto"/>
        <w:ind w:firstLineChars="200" w:firstLine="480"/>
        <w:rPr>
          <w:rFonts w:ascii="宋体" w:hAnsi="宋体"/>
          <w:sz w:val="24"/>
        </w:rPr>
      </w:pPr>
      <w:r>
        <w:rPr>
          <w:rFonts w:hint="eastAsia"/>
          <w:sz w:val="24"/>
        </w:rPr>
        <w:t>2</w:t>
      </w:r>
      <w:r>
        <w:rPr>
          <w:rFonts w:ascii="宋体" w:hAnsi="宋体" w:hint="eastAsia"/>
          <w:sz w:val="24"/>
        </w:rPr>
        <w:t>、本次非公开发行于</w:t>
      </w:r>
      <w:r>
        <w:rPr>
          <w:rFonts w:hint="eastAsia"/>
          <w:sz w:val="24"/>
        </w:rPr>
        <w:t>2022</w:t>
      </w:r>
      <w:r>
        <w:rPr>
          <w:rFonts w:ascii="宋体" w:hAnsi="宋体" w:hint="eastAsia"/>
          <w:sz w:val="24"/>
        </w:rPr>
        <w:t>年</w:t>
      </w:r>
      <w:r>
        <w:rPr>
          <w:rFonts w:hint="eastAsia"/>
          <w:sz w:val="24"/>
        </w:rPr>
        <w:t>11</w:t>
      </w:r>
      <w:r>
        <w:rPr>
          <w:rFonts w:ascii="宋体" w:hAnsi="宋体" w:hint="eastAsia"/>
          <w:sz w:val="24"/>
        </w:rPr>
        <w:t>月</w:t>
      </w:r>
      <w:r>
        <w:rPr>
          <w:rFonts w:hint="eastAsia"/>
          <w:sz w:val="24"/>
        </w:rPr>
        <w:t>30</w:t>
      </w:r>
      <w:r>
        <w:rPr>
          <w:rFonts w:ascii="宋体" w:hAnsi="宋体" w:hint="eastAsia"/>
          <w:sz w:val="24"/>
        </w:rPr>
        <w:t>日实施完成，该完成时间仅用于计算本次非公开发行摊薄即期回报对主要财务指标的影响，最终以中国证监会核准本次发行后的实际完成时间为准；</w:t>
      </w:r>
    </w:p>
    <w:p w14:paraId="55266D17"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3</w:t>
      </w:r>
      <w:r>
        <w:rPr>
          <w:rFonts w:hint="eastAsia"/>
          <w:kern w:val="0"/>
          <w:sz w:val="24"/>
        </w:rPr>
        <w:t>、不考虑本次发行募集资金到账后，对公司生产经营、财务状况（如财务费用、投资收益等）的影响；</w:t>
      </w:r>
    </w:p>
    <w:p w14:paraId="3E33FFA5"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4</w:t>
      </w:r>
      <w:r>
        <w:rPr>
          <w:rFonts w:hint="eastAsia"/>
          <w:kern w:val="0"/>
          <w:sz w:val="24"/>
        </w:rPr>
        <w:t>、假设本次非公开发行股票数量按发行上限计算，即</w:t>
      </w:r>
      <w:r>
        <w:rPr>
          <w:rFonts w:hint="eastAsia"/>
          <w:kern w:val="0"/>
          <w:sz w:val="24"/>
        </w:rPr>
        <w:t>169,310,869</w:t>
      </w:r>
      <w:r>
        <w:rPr>
          <w:rFonts w:hint="eastAsia"/>
          <w:kern w:val="0"/>
          <w:sz w:val="24"/>
        </w:rPr>
        <w:t>股，该发行股票数量仅用于本测算的估计，最终以本次发行价格计算确定的并经中国证监会核准后的股票发行数量为准；募集资金总额为</w:t>
      </w:r>
      <w:r>
        <w:rPr>
          <w:rFonts w:hint="eastAsia"/>
          <w:kern w:val="0"/>
          <w:sz w:val="24"/>
        </w:rPr>
        <w:t xml:space="preserve"> </w:t>
      </w:r>
      <w:r>
        <w:rPr>
          <w:kern w:val="0"/>
          <w:sz w:val="24"/>
        </w:rPr>
        <w:t>40</w:t>
      </w:r>
      <w:r>
        <w:rPr>
          <w:rFonts w:hint="eastAsia"/>
          <w:kern w:val="0"/>
          <w:sz w:val="24"/>
        </w:rPr>
        <w:t>,000</w:t>
      </w:r>
      <w:r>
        <w:rPr>
          <w:kern w:val="0"/>
          <w:sz w:val="24"/>
        </w:rPr>
        <w:t>.00</w:t>
      </w:r>
      <w:r>
        <w:rPr>
          <w:rFonts w:hint="eastAsia"/>
          <w:kern w:val="0"/>
          <w:sz w:val="24"/>
        </w:rPr>
        <w:t>万元，不考虑发行费用等的影响（本次发行实际到账的募集资金规模将根据监管部门核准、发行认购情况以及发行费用等最终确定）；</w:t>
      </w:r>
    </w:p>
    <w:p w14:paraId="6BE3332E"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5</w:t>
      </w:r>
      <w:r>
        <w:rPr>
          <w:rFonts w:hint="eastAsia"/>
          <w:kern w:val="0"/>
          <w:sz w:val="24"/>
        </w:rPr>
        <w:t>、在预测公司总股本时，以</w:t>
      </w:r>
      <w:r>
        <w:rPr>
          <w:rFonts w:hint="eastAsia"/>
          <w:kern w:val="0"/>
          <w:sz w:val="24"/>
        </w:rPr>
        <w:t>202</w:t>
      </w:r>
      <w:r>
        <w:rPr>
          <w:kern w:val="0"/>
          <w:sz w:val="24"/>
        </w:rPr>
        <w:t>2</w:t>
      </w:r>
      <w:r>
        <w:rPr>
          <w:rFonts w:hint="eastAsia"/>
          <w:kern w:val="0"/>
          <w:sz w:val="24"/>
        </w:rPr>
        <w:t>年</w:t>
      </w:r>
      <w:r>
        <w:rPr>
          <w:kern w:val="0"/>
          <w:sz w:val="24"/>
        </w:rPr>
        <w:t>6</w:t>
      </w:r>
      <w:r>
        <w:rPr>
          <w:rFonts w:hint="eastAsia"/>
          <w:kern w:val="0"/>
          <w:sz w:val="24"/>
        </w:rPr>
        <w:t>月</w:t>
      </w:r>
      <w:r>
        <w:rPr>
          <w:rFonts w:hint="eastAsia"/>
          <w:kern w:val="0"/>
          <w:sz w:val="24"/>
        </w:rPr>
        <w:t>3</w:t>
      </w:r>
      <w:r>
        <w:rPr>
          <w:kern w:val="0"/>
          <w:sz w:val="24"/>
        </w:rPr>
        <w:t>0</w:t>
      </w:r>
      <w:r>
        <w:rPr>
          <w:rFonts w:hint="eastAsia"/>
          <w:kern w:val="0"/>
          <w:sz w:val="24"/>
        </w:rPr>
        <w:t>日的总股本</w:t>
      </w:r>
      <w:r>
        <w:rPr>
          <w:kern w:val="0"/>
          <w:sz w:val="24"/>
        </w:rPr>
        <w:t>564,369,565</w:t>
      </w:r>
      <w:r>
        <w:rPr>
          <w:rFonts w:hint="eastAsia"/>
          <w:kern w:val="0"/>
          <w:sz w:val="24"/>
        </w:rPr>
        <w:t>股为基础，仅考虑本次非公开发行股票的影响，不考虑其他因素导致股本变动的情形；</w:t>
      </w:r>
    </w:p>
    <w:p w14:paraId="062F6E8A" w14:textId="77777777" w:rsidR="00D26039" w:rsidRDefault="00B30650">
      <w:pPr>
        <w:autoSpaceDE w:val="0"/>
        <w:adjustRightInd w:val="0"/>
        <w:spacing w:beforeLines="50" w:before="156" w:afterLines="50" w:after="156" w:line="360" w:lineRule="auto"/>
        <w:ind w:firstLineChars="200" w:firstLine="480"/>
        <w:rPr>
          <w:kern w:val="0"/>
          <w:sz w:val="24"/>
        </w:rPr>
      </w:pPr>
      <w:r>
        <w:rPr>
          <w:kern w:val="0"/>
          <w:sz w:val="24"/>
        </w:rPr>
        <w:t>6</w:t>
      </w:r>
      <w:r>
        <w:rPr>
          <w:rFonts w:hint="eastAsia"/>
          <w:kern w:val="0"/>
          <w:sz w:val="24"/>
        </w:rPr>
        <w:t>、结合目前市场环境，为便于分析本次非公开发行方案对公司主要财务指标的影响，假设</w:t>
      </w:r>
      <w:r>
        <w:rPr>
          <w:rFonts w:hint="eastAsia"/>
          <w:kern w:val="0"/>
          <w:sz w:val="24"/>
        </w:rPr>
        <w:t>2022</w:t>
      </w:r>
      <w:r>
        <w:rPr>
          <w:rFonts w:hint="eastAsia"/>
          <w:kern w:val="0"/>
          <w:sz w:val="24"/>
        </w:rPr>
        <w:t>年度归属于公司普通股股东的净利润及扣除非经常性损益前后归属于母公司所有者的净利润有以下三种情况：（</w:t>
      </w:r>
      <w:r>
        <w:rPr>
          <w:rFonts w:hint="eastAsia"/>
          <w:kern w:val="0"/>
          <w:sz w:val="24"/>
        </w:rPr>
        <w:t>1</w:t>
      </w:r>
      <w:r>
        <w:rPr>
          <w:rFonts w:hint="eastAsia"/>
          <w:kern w:val="0"/>
          <w:sz w:val="24"/>
        </w:rPr>
        <w:t>）较</w:t>
      </w:r>
      <w:r>
        <w:rPr>
          <w:rFonts w:hint="eastAsia"/>
          <w:kern w:val="0"/>
          <w:sz w:val="24"/>
        </w:rPr>
        <w:t>202</w:t>
      </w:r>
      <w:r>
        <w:rPr>
          <w:kern w:val="0"/>
          <w:sz w:val="24"/>
        </w:rPr>
        <w:t>1</w:t>
      </w:r>
      <w:r>
        <w:rPr>
          <w:rFonts w:hint="eastAsia"/>
          <w:kern w:val="0"/>
          <w:sz w:val="24"/>
        </w:rPr>
        <w:t>年度增长</w:t>
      </w:r>
      <w:r>
        <w:rPr>
          <w:rFonts w:hint="eastAsia"/>
          <w:kern w:val="0"/>
          <w:sz w:val="24"/>
        </w:rPr>
        <w:t>10%</w:t>
      </w:r>
      <w:r>
        <w:rPr>
          <w:rFonts w:hint="eastAsia"/>
          <w:kern w:val="0"/>
          <w:sz w:val="24"/>
        </w:rPr>
        <w:t>；（</w:t>
      </w:r>
      <w:r>
        <w:rPr>
          <w:rFonts w:hint="eastAsia"/>
          <w:kern w:val="0"/>
          <w:sz w:val="24"/>
        </w:rPr>
        <w:t>2</w:t>
      </w:r>
      <w:r>
        <w:rPr>
          <w:rFonts w:hint="eastAsia"/>
          <w:kern w:val="0"/>
          <w:sz w:val="24"/>
        </w:rPr>
        <w:t>）与</w:t>
      </w:r>
      <w:r>
        <w:rPr>
          <w:rFonts w:hint="eastAsia"/>
          <w:kern w:val="0"/>
          <w:sz w:val="24"/>
        </w:rPr>
        <w:t>202</w:t>
      </w:r>
      <w:r>
        <w:rPr>
          <w:kern w:val="0"/>
          <w:sz w:val="24"/>
        </w:rPr>
        <w:t>1</w:t>
      </w:r>
      <w:r>
        <w:rPr>
          <w:rFonts w:hint="eastAsia"/>
          <w:kern w:val="0"/>
          <w:sz w:val="24"/>
        </w:rPr>
        <w:t>年度持平；（</w:t>
      </w:r>
      <w:r>
        <w:rPr>
          <w:rFonts w:hint="eastAsia"/>
          <w:kern w:val="0"/>
          <w:sz w:val="24"/>
        </w:rPr>
        <w:t>3</w:t>
      </w:r>
      <w:r>
        <w:rPr>
          <w:rFonts w:hint="eastAsia"/>
          <w:kern w:val="0"/>
          <w:sz w:val="24"/>
        </w:rPr>
        <w:t>）较</w:t>
      </w:r>
      <w:r>
        <w:rPr>
          <w:rFonts w:hint="eastAsia"/>
          <w:kern w:val="0"/>
          <w:sz w:val="24"/>
        </w:rPr>
        <w:t>202</w:t>
      </w:r>
      <w:r>
        <w:rPr>
          <w:kern w:val="0"/>
          <w:sz w:val="24"/>
        </w:rPr>
        <w:t>1</w:t>
      </w:r>
      <w:r>
        <w:rPr>
          <w:rFonts w:hint="eastAsia"/>
          <w:kern w:val="0"/>
          <w:sz w:val="24"/>
        </w:rPr>
        <w:t>年度下降</w:t>
      </w:r>
      <w:r>
        <w:rPr>
          <w:rFonts w:hint="eastAsia"/>
          <w:kern w:val="0"/>
          <w:sz w:val="24"/>
        </w:rPr>
        <w:t>10%</w:t>
      </w:r>
      <w:r>
        <w:rPr>
          <w:rFonts w:hint="eastAsia"/>
          <w:kern w:val="0"/>
          <w:sz w:val="24"/>
        </w:rPr>
        <w:t>；</w:t>
      </w:r>
    </w:p>
    <w:p w14:paraId="64B05D4D"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7</w:t>
      </w:r>
      <w:r>
        <w:rPr>
          <w:rFonts w:ascii="宋体" w:hAnsi="宋体" w:hint="eastAsia"/>
          <w:sz w:val="24"/>
        </w:rPr>
        <w:t>、上述假设分析中关于本次发行前后公司主要财务指标的情况不构成公司的盈利预测，投资者不应</w:t>
      </w:r>
      <w:r>
        <w:rPr>
          <w:rFonts w:ascii="宋体" w:hAnsi="宋体" w:hint="eastAsia"/>
          <w:kern w:val="0"/>
          <w:sz w:val="24"/>
        </w:rPr>
        <w:t>据此</w:t>
      </w:r>
      <w:r>
        <w:rPr>
          <w:rFonts w:ascii="宋体" w:hAnsi="宋体" w:hint="eastAsia"/>
          <w:sz w:val="24"/>
        </w:rPr>
        <w:t>进行投资决策，投资者据此进行投资决策造成损失的，公司不承担赔偿责任。</w:t>
      </w:r>
    </w:p>
    <w:p w14:paraId="5CF84383"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lastRenderedPageBreak/>
        <w:t>（二）公司主要财务指标的影响</w:t>
      </w:r>
    </w:p>
    <w:p w14:paraId="3B42F20D" w14:textId="77777777" w:rsidR="00D26039" w:rsidRDefault="00B30650">
      <w:pPr>
        <w:autoSpaceDE w:val="0"/>
        <w:spacing w:beforeLines="50" w:before="156" w:afterLines="50" w:after="156" w:line="360" w:lineRule="auto"/>
        <w:ind w:firstLineChars="200" w:firstLine="480"/>
        <w:rPr>
          <w:rFonts w:ascii="宋体" w:hAnsi="宋体"/>
          <w:sz w:val="24"/>
        </w:rPr>
      </w:pPr>
      <w:r>
        <w:rPr>
          <w:rFonts w:ascii="宋体" w:hAnsi="宋体"/>
          <w:sz w:val="24"/>
        </w:rPr>
        <w:t>基于上述假设前提，公司测算了本次非公开发行对股东即期回报摊薄的影响，具体主要财务指标情况如下：</w:t>
      </w:r>
    </w:p>
    <w:tbl>
      <w:tblPr>
        <w:tblW w:w="9900" w:type="dxa"/>
        <w:jc w:val="center"/>
        <w:tblBorders>
          <w:top w:val="double" w:sz="2" w:space="0" w:color="auto"/>
          <w:left w:val="double" w:sz="2"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372"/>
        <w:gridCol w:w="1984"/>
        <w:gridCol w:w="1701"/>
        <w:gridCol w:w="1843"/>
      </w:tblGrid>
      <w:tr w:rsidR="00D26039" w:rsidRPr="005150E9" w14:paraId="266F6238" w14:textId="77777777">
        <w:trPr>
          <w:trHeight w:val="397"/>
          <w:jc w:val="center"/>
        </w:trPr>
        <w:tc>
          <w:tcPr>
            <w:tcW w:w="4372" w:type="dxa"/>
            <w:vMerge w:val="restart"/>
            <w:shd w:val="clear" w:color="auto" w:fill="auto"/>
            <w:vAlign w:val="center"/>
          </w:tcPr>
          <w:p w14:paraId="124CA10F" w14:textId="77777777" w:rsidR="00D26039" w:rsidRPr="005150E9" w:rsidRDefault="00B30650">
            <w:pPr>
              <w:widowControl/>
              <w:jc w:val="center"/>
              <w:rPr>
                <w:b/>
                <w:bCs/>
                <w:color w:val="000000"/>
                <w:kern w:val="0"/>
                <w:szCs w:val="21"/>
              </w:rPr>
            </w:pPr>
            <w:r w:rsidRPr="005150E9">
              <w:rPr>
                <w:b/>
                <w:bCs/>
                <w:color w:val="000000"/>
                <w:kern w:val="0"/>
                <w:szCs w:val="21"/>
              </w:rPr>
              <w:t>项目</w:t>
            </w:r>
          </w:p>
        </w:tc>
        <w:tc>
          <w:tcPr>
            <w:tcW w:w="1984" w:type="dxa"/>
            <w:vMerge w:val="restart"/>
            <w:shd w:val="clear" w:color="auto" w:fill="auto"/>
            <w:vAlign w:val="center"/>
          </w:tcPr>
          <w:p w14:paraId="20CB891A" w14:textId="77777777" w:rsidR="00D26039" w:rsidRPr="005150E9" w:rsidRDefault="00B30650">
            <w:pPr>
              <w:widowControl/>
              <w:jc w:val="center"/>
              <w:rPr>
                <w:b/>
                <w:bCs/>
                <w:color w:val="000000"/>
                <w:kern w:val="0"/>
                <w:szCs w:val="21"/>
              </w:rPr>
            </w:pPr>
            <w:r w:rsidRPr="005150E9">
              <w:rPr>
                <w:b/>
                <w:bCs/>
                <w:color w:val="000000"/>
                <w:kern w:val="0"/>
                <w:szCs w:val="21"/>
              </w:rPr>
              <w:t>2021</w:t>
            </w:r>
            <w:r w:rsidRPr="005150E9">
              <w:rPr>
                <w:b/>
                <w:bCs/>
                <w:color w:val="000000"/>
                <w:kern w:val="0"/>
                <w:szCs w:val="21"/>
              </w:rPr>
              <w:t>年度</w:t>
            </w:r>
            <w:r w:rsidRPr="005150E9">
              <w:rPr>
                <w:b/>
                <w:bCs/>
                <w:color w:val="000000"/>
                <w:kern w:val="0"/>
                <w:szCs w:val="21"/>
              </w:rPr>
              <w:t>/2021</w:t>
            </w:r>
            <w:r w:rsidRPr="005150E9">
              <w:rPr>
                <w:b/>
                <w:bCs/>
                <w:color w:val="000000"/>
                <w:kern w:val="0"/>
                <w:szCs w:val="21"/>
              </w:rPr>
              <w:t>年</w:t>
            </w:r>
            <w:r w:rsidRPr="005150E9">
              <w:rPr>
                <w:b/>
                <w:bCs/>
                <w:color w:val="000000"/>
                <w:kern w:val="0"/>
                <w:szCs w:val="21"/>
              </w:rPr>
              <w:t>12</w:t>
            </w:r>
            <w:r w:rsidRPr="005150E9">
              <w:rPr>
                <w:b/>
                <w:bCs/>
                <w:color w:val="000000"/>
                <w:kern w:val="0"/>
                <w:szCs w:val="21"/>
              </w:rPr>
              <w:t>月</w:t>
            </w:r>
            <w:r w:rsidRPr="005150E9">
              <w:rPr>
                <w:b/>
                <w:bCs/>
                <w:color w:val="000000"/>
                <w:kern w:val="0"/>
                <w:szCs w:val="21"/>
              </w:rPr>
              <w:t>31</w:t>
            </w:r>
            <w:r w:rsidRPr="005150E9">
              <w:rPr>
                <w:b/>
                <w:bCs/>
                <w:color w:val="000000"/>
                <w:kern w:val="0"/>
                <w:szCs w:val="21"/>
              </w:rPr>
              <w:t>日</w:t>
            </w:r>
          </w:p>
        </w:tc>
        <w:tc>
          <w:tcPr>
            <w:tcW w:w="3544" w:type="dxa"/>
            <w:gridSpan w:val="2"/>
            <w:shd w:val="clear" w:color="auto" w:fill="auto"/>
            <w:vAlign w:val="center"/>
          </w:tcPr>
          <w:p w14:paraId="3B577D51" w14:textId="77777777" w:rsidR="00D26039" w:rsidRPr="005150E9" w:rsidRDefault="00B30650">
            <w:pPr>
              <w:widowControl/>
              <w:jc w:val="center"/>
              <w:rPr>
                <w:b/>
                <w:bCs/>
                <w:color w:val="000000"/>
                <w:kern w:val="0"/>
                <w:szCs w:val="21"/>
              </w:rPr>
            </w:pPr>
            <w:r w:rsidRPr="005150E9">
              <w:rPr>
                <w:b/>
                <w:bCs/>
                <w:color w:val="000000"/>
                <w:kern w:val="0"/>
                <w:szCs w:val="21"/>
              </w:rPr>
              <w:t>2022</w:t>
            </w:r>
            <w:r w:rsidRPr="005150E9">
              <w:rPr>
                <w:b/>
                <w:bCs/>
                <w:color w:val="000000"/>
                <w:kern w:val="0"/>
                <w:szCs w:val="21"/>
              </w:rPr>
              <w:t>年度</w:t>
            </w:r>
            <w:r w:rsidRPr="005150E9">
              <w:rPr>
                <w:b/>
                <w:bCs/>
                <w:color w:val="000000"/>
                <w:kern w:val="0"/>
                <w:szCs w:val="21"/>
              </w:rPr>
              <w:t>/2022</w:t>
            </w:r>
            <w:r w:rsidRPr="005150E9">
              <w:rPr>
                <w:b/>
                <w:bCs/>
                <w:color w:val="000000"/>
                <w:kern w:val="0"/>
                <w:szCs w:val="21"/>
              </w:rPr>
              <w:t>年</w:t>
            </w:r>
            <w:r w:rsidRPr="005150E9">
              <w:rPr>
                <w:b/>
                <w:bCs/>
                <w:color w:val="000000"/>
                <w:kern w:val="0"/>
                <w:szCs w:val="21"/>
              </w:rPr>
              <w:t>12</w:t>
            </w:r>
            <w:r w:rsidRPr="005150E9">
              <w:rPr>
                <w:b/>
                <w:bCs/>
                <w:color w:val="000000"/>
                <w:kern w:val="0"/>
                <w:szCs w:val="21"/>
              </w:rPr>
              <w:t>月</w:t>
            </w:r>
            <w:r w:rsidRPr="005150E9">
              <w:rPr>
                <w:b/>
                <w:bCs/>
                <w:color w:val="000000"/>
                <w:kern w:val="0"/>
                <w:szCs w:val="21"/>
              </w:rPr>
              <w:t>31</w:t>
            </w:r>
            <w:r w:rsidRPr="005150E9">
              <w:rPr>
                <w:b/>
                <w:bCs/>
                <w:color w:val="000000"/>
                <w:kern w:val="0"/>
                <w:szCs w:val="21"/>
              </w:rPr>
              <w:t>日</w:t>
            </w:r>
          </w:p>
        </w:tc>
      </w:tr>
      <w:tr w:rsidR="00D26039" w:rsidRPr="005150E9" w14:paraId="423D7503" w14:textId="77777777">
        <w:trPr>
          <w:trHeight w:val="397"/>
          <w:jc w:val="center"/>
        </w:trPr>
        <w:tc>
          <w:tcPr>
            <w:tcW w:w="4372" w:type="dxa"/>
            <w:vMerge/>
            <w:shd w:val="clear" w:color="auto" w:fill="auto"/>
            <w:vAlign w:val="center"/>
          </w:tcPr>
          <w:p w14:paraId="1A17D75C" w14:textId="77777777" w:rsidR="00D26039" w:rsidRPr="005150E9" w:rsidRDefault="00D26039">
            <w:pPr>
              <w:widowControl/>
              <w:jc w:val="left"/>
              <w:rPr>
                <w:b/>
                <w:bCs/>
                <w:color w:val="000000"/>
                <w:kern w:val="0"/>
                <w:szCs w:val="21"/>
              </w:rPr>
            </w:pPr>
          </w:p>
        </w:tc>
        <w:tc>
          <w:tcPr>
            <w:tcW w:w="1984" w:type="dxa"/>
            <w:vMerge/>
            <w:shd w:val="clear" w:color="auto" w:fill="auto"/>
            <w:vAlign w:val="center"/>
          </w:tcPr>
          <w:p w14:paraId="1FADB62C" w14:textId="77777777" w:rsidR="00D26039" w:rsidRPr="005150E9" w:rsidRDefault="00D26039">
            <w:pPr>
              <w:widowControl/>
              <w:jc w:val="left"/>
              <w:rPr>
                <w:b/>
                <w:bCs/>
                <w:color w:val="000000"/>
                <w:kern w:val="0"/>
                <w:szCs w:val="21"/>
              </w:rPr>
            </w:pPr>
          </w:p>
        </w:tc>
        <w:tc>
          <w:tcPr>
            <w:tcW w:w="1701" w:type="dxa"/>
            <w:shd w:val="clear" w:color="auto" w:fill="auto"/>
            <w:vAlign w:val="center"/>
          </w:tcPr>
          <w:p w14:paraId="66326FFA" w14:textId="77777777" w:rsidR="00D26039" w:rsidRPr="005150E9" w:rsidRDefault="00B30650">
            <w:pPr>
              <w:widowControl/>
              <w:jc w:val="center"/>
              <w:rPr>
                <w:b/>
                <w:bCs/>
                <w:color w:val="000000"/>
                <w:kern w:val="0"/>
                <w:szCs w:val="21"/>
              </w:rPr>
            </w:pPr>
            <w:r w:rsidRPr="005150E9">
              <w:rPr>
                <w:b/>
                <w:bCs/>
                <w:color w:val="000000"/>
                <w:kern w:val="0"/>
                <w:szCs w:val="21"/>
              </w:rPr>
              <w:t>本次发行前</w:t>
            </w:r>
          </w:p>
        </w:tc>
        <w:tc>
          <w:tcPr>
            <w:tcW w:w="1843" w:type="dxa"/>
            <w:shd w:val="clear" w:color="auto" w:fill="auto"/>
            <w:vAlign w:val="center"/>
          </w:tcPr>
          <w:p w14:paraId="37FEBA4A" w14:textId="77777777" w:rsidR="00D26039" w:rsidRPr="005150E9" w:rsidRDefault="00B30650">
            <w:pPr>
              <w:widowControl/>
              <w:jc w:val="center"/>
              <w:rPr>
                <w:b/>
                <w:bCs/>
                <w:color w:val="000000"/>
                <w:kern w:val="0"/>
                <w:szCs w:val="21"/>
              </w:rPr>
            </w:pPr>
            <w:r w:rsidRPr="005150E9">
              <w:rPr>
                <w:b/>
                <w:bCs/>
                <w:color w:val="000000"/>
                <w:kern w:val="0"/>
                <w:szCs w:val="21"/>
              </w:rPr>
              <w:t>本次发行后</w:t>
            </w:r>
          </w:p>
        </w:tc>
      </w:tr>
      <w:tr w:rsidR="00D26039" w:rsidRPr="005150E9" w14:paraId="6DF20265" w14:textId="77777777">
        <w:trPr>
          <w:trHeight w:val="397"/>
          <w:jc w:val="center"/>
        </w:trPr>
        <w:tc>
          <w:tcPr>
            <w:tcW w:w="4372" w:type="dxa"/>
            <w:shd w:val="clear" w:color="auto" w:fill="auto"/>
            <w:vAlign w:val="center"/>
          </w:tcPr>
          <w:p w14:paraId="4ABEBC8C" w14:textId="77777777" w:rsidR="00D26039" w:rsidRPr="005150E9" w:rsidRDefault="00B30650">
            <w:pPr>
              <w:widowControl/>
              <w:jc w:val="left"/>
              <w:rPr>
                <w:color w:val="000000"/>
                <w:kern w:val="0"/>
                <w:szCs w:val="21"/>
              </w:rPr>
            </w:pPr>
            <w:r w:rsidRPr="005150E9">
              <w:rPr>
                <w:color w:val="000000"/>
                <w:kern w:val="0"/>
                <w:szCs w:val="21"/>
              </w:rPr>
              <w:t>期末总股本（股）</w:t>
            </w:r>
          </w:p>
        </w:tc>
        <w:tc>
          <w:tcPr>
            <w:tcW w:w="1984" w:type="dxa"/>
            <w:shd w:val="clear" w:color="auto" w:fill="auto"/>
            <w:vAlign w:val="center"/>
          </w:tcPr>
          <w:p w14:paraId="12541324" w14:textId="77777777" w:rsidR="00D26039" w:rsidRPr="005150E9" w:rsidRDefault="00B30650">
            <w:pPr>
              <w:widowControl/>
              <w:jc w:val="right"/>
              <w:rPr>
                <w:color w:val="000000"/>
                <w:kern w:val="0"/>
                <w:szCs w:val="21"/>
                <w:highlight w:val="yellow"/>
              </w:rPr>
            </w:pPr>
            <w:r w:rsidRPr="005150E9">
              <w:rPr>
                <w:color w:val="000000"/>
                <w:szCs w:val="21"/>
              </w:rPr>
              <w:t>564,369,565</w:t>
            </w:r>
          </w:p>
        </w:tc>
        <w:tc>
          <w:tcPr>
            <w:tcW w:w="1701" w:type="dxa"/>
            <w:shd w:val="clear" w:color="auto" w:fill="auto"/>
            <w:vAlign w:val="center"/>
          </w:tcPr>
          <w:p w14:paraId="3E6EFC1C" w14:textId="77777777" w:rsidR="00D26039" w:rsidRPr="005150E9" w:rsidRDefault="00B30650">
            <w:pPr>
              <w:widowControl/>
              <w:jc w:val="right"/>
              <w:rPr>
                <w:color w:val="000000"/>
                <w:kern w:val="0"/>
                <w:szCs w:val="21"/>
                <w:highlight w:val="yellow"/>
              </w:rPr>
            </w:pPr>
            <w:r w:rsidRPr="005150E9">
              <w:rPr>
                <w:color w:val="000000"/>
                <w:szCs w:val="21"/>
              </w:rPr>
              <w:t>564,369,565</w:t>
            </w:r>
          </w:p>
        </w:tc>
        <w:tc>
          <w:tcPr>
            <w:tcW w:w="1843" w:type="dxa"/>
            <w:shd w:val="clear" w:color="auto" w:fill="auto"/>
            <w:vAlign w:val="center"/>
          </w:tcPr>
          <w:p w14:paraId="42CA8235" w14:textId="77777777" w:rsidR="00D26039" w:rsidRPr="005150E9" w:rsidRDefault="00B30650">
            <w:pPr>
              <w:widowControl/>
              <w:jc w:val="right"/>
              <w:rPr>
                <w:color w:val="000000"/>
                <w:kern w:val="0"/>
                <w:szCs w:val="21"/>
                <w:highlight w:val="yellow"/>
              </w:rPr>
            </w:pPr>
            <w:r w:rsidRPr="005150E9">
              <w:rPr>
                <w:color w:val="000000"/>
                <w:szCs w:val="21"/>
              </w:rPr>
              <w:t xml:space="preserve">733,680,434 </w:t>
            </w:r>
          </w:p>
        </w:tc>
      </w:tr>
      <w:tr w:rsidR="00D26039" w:rsidRPr="005150E9" w14:paraId="6BF48D95" w14:textId="77777777">
        <w:trPr>
          <w:trHeight w:val="397"/>
          <w:jc w:val="center"/>
        </w:trPr>
        <w:tc>
          <w:tcPr>
            <w:tcW w:w="4372" w:type="dxa"/>
            <w:shd w:val="clear" w:color="auto" w:fill="auto"/>
            <w:vAlign w:val="center"/>
          </w:tcPr>
          <w:p w14:paraId="7852C00B" w14:textId="77777777" w:rsidR="00D26039" w:rsidRPr="005150E9" w:rsidRDefault="00B30650">
            <w:pPr>
              <w:widowControl/>
              <w:jc w:val="left"/>
              <w:rPr>
                <w:color w:val="000000"/>
                <w:kern w:val="0"/>
                <w:szCs w:val="21"/>
              </w:rPr>
            </w:pPr>
            <w:r w:rsidRPr="005150E9">
              <w:rPr>
                <w:color w:val="000000"/>
                <w:kern w:val="0"/>
                <w:szCs w:val="21"/>
              </w:rPr>
              <w:t>本次募集资金总额（万元）</w:t>
            </w:r>
          </w:p>
        </w:tc>
        <w:tc>
          <w:tcPr>
            <w:tcW w:w="5528" w:type="dxa"/>
            <w:gridSpan w:val="3"/>
            <w:shd w:val="clear" w:color="auto" w:fill="auto"/>
            <w:vAlign w:val="center"/>
          </w:tcPr>
          <w:p w14:paraId="199E60CE" w14:textId="77777777" w:rsidR="00D26039" w:rsidRPr="005150E9" w:rsidRDefault="00B30650">
            <w:pPr>
              <w:widowControl/>
              <w:jc w:val="right"/>
              <w:rPr>
                <w:color w:val="000000"/>
                <w:kern w:val="0"/>
                <w:szCs w:val="21"/>
                <w:highlight w:val="yellow"/>
              </w:rPr>
            </w:pPr>
            <w:r w:rsidRPr="005150E9">
              <w:rPr>
                <w:color w:val="000000"/>
                <w:szCs w:val="21"/>
              </w:rPr>
              <w:t>40,000.00</w:t>
            </w:r>
          </w:p>
        </w:tc>
      </w:tr>
      <w:tr w:rsidR="00D26039" w:rsidRPr="005150E9" w14:paraId="13B9C0B7" w14:textId="77777777">
        <w:trPr>
          <w:trHeight w:val="397"/>
          <w:jc w:val="center"/>
        </w:trPr>
        <w:tc>
          <w:tcPr>
            <w:tcW w:w="4372" w:type="dxa"/>
            <w:shd w:val="clear" w:color="auto" w:fill="auto"/>
            <w:vAlign w:val="center"/>
          </w:tcPr>
          <w:p w14:paraId="1FE889A9" w14:textId="77777777" w:rsidR="00D26039" w:rsidRPr="005150E9" w:rsidRDefault="00B30650">
            <w:pPr>
              <w:widowControl/>
              <w:jc w:val="left"/>
              <w:rPr>
                <w:color w:val="000000"/>
                <w:kern w:val="0"/>
                <w:szCs w:val="21"/>
              </w:rPr>
            </w:pPr>
            <w:r w:rsidRPr="005150E9">
              <w:rPr>
                <w:color w:val="000000"/>
                <w:kern w:val="0"/>
                <w:szCs w:val="21"/>
              </w:rPr>
              <w:t>本次发行股份数量上限（股）</w:t>
            </w:r>
          </w:p>
        </w:tc>
        <w:tc>
          <w:tcPr>
            <w:tcW w:w="5528" w:type="dxa"/>
            <w:gridSpan w:val="3"/>
            <w:shd w:val="clear" w:color="auto" w:fill="auto"/>
            <w:vAlign w:val="center"/>
          </w:tcPr>
          <w:p w14:paraId="36F5EE0A" w14:textId="77777777" w:rsidR="00D26039" w:rsidRPr="005150E9" w:rsidRDefault="00B30650">
            <w:pPr>
              <w:widowControl/>
              <w:jc w:val="right"/>
              <w:rPr>
                <w:color w:val="000000"/>
                <w:kern w:val="0"/>
                <w:szCs w:val="21"/>
                <w:highlight w:val="yellow"/>
              </w:rPr>
            </w:pPr>
            <w:r w:rsidRPr="005150E9">
              <w:rPr>
                <w:color w:val="000000"/>
                <w:szCs w:val="21"/>
              </w:rPr>
              <w:t xml:space="preserve">169,310,869 </w:t>
            </w:r>
          </w:p>
        </w:tc>
      </w:tr>
      <w:tr w:rsidR="00D26039" w:rsidRPr="005150E9" w14:paraId="05E61906" w14:textId="77777777">
        <w:trPr>
          <w:trHeight w:val="397"/>
          <w:jc w:val="center"/>
        </w:trPr>
        <w:tc>
          <w:tcPr>
            <w:tcW w:w="4372" w:type="dxa"/>
            <w:shd w:val="clear" w:color="auto" w:fill="auto"/>
            <w:vAlign w:val="center"/>
          </w:tcPr>
          <w:p w14:paraId="5822E01B" w14:textId="77777777" w:rsidR="00D26039" w:rsidRPr="005150E9" w:rsidRDefault="00B30650">
            <w:pPr>
              <w:widowControl/>
              <w:jc w:val="left"/>
              <w:rPr>
                <w:color w:val="000000"/>
                <w:kern w:val="0"/>
                <w:szCs w:val="21"/>
              </w:rPr>
            </w:pPr>
            <w:r w:rsidRPr="005150E9">
              <w:rPr>
                <w:color w:val="000000"/>
                <w:kern w:val="0"/>
                <w:szCs w:val="21"/>
              </w:rPr>
              <w:t>预计本次发行完成月份</w:t>
            </w:r>
          </w:p>
        </w:tc>
        <w:tc>
          <w:tcPr>
            <w:tcW w:w="5528" w:type="dxa"/>
            <w:gridSpan w:val="3"/>
            <w:shd w:val="clear" w:color="auto" w:fill="auto"/>
            <w:vAlign w:val="center"/>
          </w:tcPr>
          <w:p w14:paraId="4CFC4B6B" w14:textId="77777777" w:rsidR="00D26039" w:rsidRPr="005150E9" w:rsidRDefault="00B30650">
            <w:pPr>
              <w:widowControl/>
              <w:jc w:val="right"/>
              <w:rPr>
                <w:color w:val="000000"/>
                <w:kern w:val="0"/>
                <w:szCs w:val="21"/>
                <w:highlight w:val="yellow"/>
              </w:rPr>
            </w:pPr>
            <w:r w:rsidRPr="005150E9">
              <w:rPr>
                <w:color w:val="000000"/>
                <w:szCs w:val="21"/>
              </w:rPr>
              <w:t>2022</w:t>
            </w:r>
            <w:r w:rsidRPr="005150E9">
              <w:rPr>
                <w:color w:val="000000"/>
                <w:szCs w:val="21"/>
              </w:rPr>
              <w:t>年</w:t>
            </w:r>
            <w:r w:rsidRPr="005150E9">
              <w:rPr>
                <w:color w:val="000000"/>
                <w:szCs w:val="21"/>
              </w:rPr>
              <w:t>11</w:t>
            </w:r>
            <w:r w:rsidRPr="005150E9">
              <w:rPr>
                <w:color w:val="000000"/>
                <w:szCs w:val="21"/>
              </w:rPr>
              <w:t>月</w:t>
            </w:r>
          </w:p>
        </w:tc>
      </w:tr>
      <w:tr w:rsidR="00D26039" w:rsidRPr="005150E9" w14:paraId="1B4A6775" w14:textId="77777777">
        <w:trPr>
          <w:trHeight w:val="397"/>
          <w:jc w:val="center"/>
        </w:trPr>
        <w:tc>
          <w:tcPr>
            <w:tcW w:w="9900" w:type="dxa"/>
            <w:gridSpan w:val="4"/>
            <w:shd w:val="clear" w:color="auto" w:fill="auto"/>
            <w:vAlign w:val="center"/>
          </w:tcPr>
          <w:p w14:paraId="675AA3CA" w14:textId="77777777" w:rsidR="00D26039" w:rsidRPr="005150E9" w:rsidRDefault="00B30650">
            <w:pPr>
              <w:widowControl/>
              <w:jc w:val="left"/>
              <w:rPr>
                <w:b/>
                <w:bCs/>
                <w:color w:val="000000"/>
                <w:kern w:val="0"/>
                <w:szCs w:val="21"/>
              </w:rPr>
            </w:pPr>
            <w:r w:rsidRPr="005150E9">
              <w:rPr>
                <w:b/>
                <w:bCs/>
                <w:color w:val="000000"/>
                <w:kern w:val="0"/>
                <w:szCs w:val="21"/>
              </w:rPr>
              <w:t>假设</w:t>
            </w:r>
            <w:r w:rsidRPr="005150E9">
              <w:rPr>
                <w:b/>
                <w:bCs/>
                <w:color w:val="000000"/>
                <w:kern w:val="0"/>
                <w:szCs w:val="21"/>
              </w:rPr>
              <w:t>1</w:t>
            </w:r>
            <w:r w:rsidRPr="005150E9">
              <w:rPr>
                <w:b/>
                <w:bCs/>
                <w:color w:val="000000"/>
                <w:kern w:val="0"/>
                <w:szCs w:val="21"/>
              </w:rPr>
              <w:t>：</w:t>
            </w:r>
            <w:proofErr w:type="gramStart"/>
            <w:r w:rsidRPr="005150E9">
              <w:rPr>
                <w:b/>
                <w:bCs/>
                <w:color w:val="000000"/>
                <w:kern w:val="0"/>
                <w:szCs w:val="21"/>
              </w:rPr>
              <w:t>2022</w:t>
            </w:r>
            <w:r w:rsidRPr="005150E9">
              <w:rPr>
                <w:b/>
                <w:bCs/>
                <w:color w:val="000000"/>
                <w:kern w:val="0"/>
                <w:szCs w:val="21"/>
              </w:rPr>
              <w:t>年扣非前后</w:t>
            </w:r>
            <w:proofErr w:type="gramEnd"/>
            <w:r w:rsidRPr="005150E9">
              <w:rPr>
                <w:b/>
                <w:bCs/>
                <w:color w:val="000000"/>
                <w:kern w:val="0"/>
                <w:szCs w:val="21"/>
              </w:rPr>
              <w:t>归属于上市公司股东的净利润较</w:t>
            </w:r>
            <w:r w:rsidRPr="005150E9">
              <w:rPr>
                <w:b/>
                <w:bCs/>
                <w:color w:val="000000"/>
                <w:kern w:val="0"/>
                <w:szCs w:val="21"/>
              </w:rPr>
              <w:t>2021</w:t>
            </w:r>
            <w:r w:rsidRPr="005150E9">
              <w:rPr>
                <w:b/>
                <w:bCs/>
                <w:color w:val="000000"/>
                <w:kern w:val="0"/>
                <w:szCs w:val="21"/>
              </w:rPr>
              <w:t>年增长</w:t>
            </w:r>
            <w:r w:rsidRPr="005150E9">
              <w:rPr>
                <w:b/>
                <w:bCs/>
                <w:color w:val="000000"/>
                <w:kern w:val="0"/>
                <w:szCs w:val="21"/>
              </w:rPr>
              <w:t>10%</w:t>
            </w:r>
          </w:p>
        </w:tc>
      </w:tr>
      <w:tr w:rsidR="00D26039" w:rsidRPr="005150E9" w14:paraId="581DC041" w14:textId="77777777">
        <w:trPr>
          <w:trHeight w:val="397"/>
          <w:jc w:val="center"/>
        </w:trPr>
        <w:tc>
          <w:tcPr>
            <w:tcW w:w="4372" w:type="dxa"/>
            <w:shd w:val="clear" w:color="auto" w:fill="auto"/>
            <w:vAlign w:val="center"/>
          </w:tcPr>
          <w:p w14:paraId="106FBCA3" w14:textId="77777777" w:rsidR="00D26039" w:rsidRPr="005150E9" w:rsidRDefault="00B30650">
            <w:pPr>
              <w:widowControl/>
              <w:rPr>
                <w:color w:val="000000"/>
                <w:kern w:val="0"/>
                <w:szCs w:val="21"/>
              </w:rPr>
            </w:pPr>
            <w:r w:rsidRPr="005150E9">
              <w:rPr>
                <w:color w:val="000000"/>
                <w:kern w:val="0"/>
                <w:szCs w:val="21"/>
              </w:rPr>
              <w:t>归属于上市公司股东的净利润（万元）</w:t>
            </w:r>
          </w:p>
        </w:tc>
        <w:tc>
          <w:tcPr>
            <w:tcW w:w="1984" w:type="dxa"/>
            <w:shd w:val="clear" w:color="auto" w:fill="auto"/>
            <w:vAlign w:val="center"/>
          </w:tcPr>
          <w:p w14:paraId="29A4777B" w14:textId="77777777" w:rsidR="00D26039" w:rsidRPr="005150E9" w:rsidRDefault="00B30650">
            <w:pPr>
              <w:widowControl/>
              <w:jc w:val="right"/>
              <w:rPr>
                <w:color w:val="000000"/>
                <w:kern w:val="0"/>
                <w:szCs w:val="21"/>
              </w:rPr>
            </w:pPr>
            <w:r w:rsidRPr="005150E9">
              <w:rPr>
                <w:color w:val="000000"/>
                <w:szCs w:val="21"/>
              </w:rPr>
              <w:t xml:space="preserve">5,085.52 </w:t>
            </w:r>
          </w:p>
        </w:tc>
        <w:tc>
          <w:tcPr>
            <w:tcW w:w="1701" w:type="dxa"/>
            <w:shd w:val="clear" w:color="auto" w:fill="auto"/>
            <w:vAlign w:val="center"/>
          </w:tcPr>
          <w:p w14:paraId="2588815A" w14:textId="77777777" w:rsidR="00D26039" w:rsidRPr="005150E9" w:rsidRDefault="00B30650">
            <w:pPr>
              <w:jc w:val="right"/>
              <w:rPr>
                <w:szCs w:val="21"/>
              </w:rPr>
            </w:pPr>
            <w:r w:rsidRPr="005150E9">
              <w:rPr>
                <w:color w:val="000000"/>
                <w:szCs w:val="21"/>
              </w:rPr>
              <w:t xml:space="preserve">5,594.07 </w:t>
            </w:r>
          </w:p>
        </w:tc>
        <w:tc>
          <w:tcPr>
            <w:tcW w:w="1843" w:type="dxa"/>
            <w:shd w:val="clear" w:color="auto" w:fill="auto"/>
            <w:vAlign w:val="center"/>
          </w:tcPr>
          <w:p w14:paraId="00D7211B" w14:textId="77777777" w:rsidR="00D26039" w:rsidRPr="005150E9" w:rsidRDefault="00B30650">
            <w:pPr>
              <w:jc w:val="right"/>
              <w:rPr>
                <w:szCs w:val="21"/>
              </w:rPr>
            </w:pPr>
            <w:r w:rsidRPr="005150E9">
              <w:rPr>
                <w:color w:val="000000"/>
                <w:szCs w:val="21"/>
              </w:rPr>
              <w:t xml:space="preserve">5,594.07 </w:t>
            </w:r>
          </w:p>
        </w:tc>
      </w:tr>
      <w:tr w:rsidR="00D26039" w:rsidRPr="005150E9" w14:paraId="3F8EA9A7" w14:textId="77777777">
        <w:trPr>
          <w:trHeight w:val="397"/>
          <w:jc w:val="center"/>
        </w:trPr>
        <w:tc>
          <w:tcPr>
            <w:tcW w:w="4372" w:type="dxa"/>
            <w:shd w:val="clear" w:color="auto" w:fill="auto"/>
            <w:vAlign w:val="center"/>
          </w:tcPr>
          <w:p w14:paraId="08656758" w14:textId="77777777" w:rsidR="00D26039" w:rsidRPr="005150E9" w:rsidRDefault="00B30650">
            <w:pPr>
              <w:widowControl/>
              <w:rPr>
                <w:color w:val="000000"/>
                <w:kern w:val="0"/>
                <w:szCs w:val="21"/>
              </w:rPr>
            </w:pPr>
            <w:r w:rsidRPr="005150E9">
              <w:rPr>
                <w:color w:val="000000"/>
                <w:kern w:val="0"/>
                <w:szCs w:val="21"/>
              </w:rPr>
              <w:t>归属于上市公司股东的扣除非经常性损益的净利润（万元）</w:t>
            </w:r>
          </w:p>
        </w:tc>
        <w:tc>
          <w:tcPr>
            <w:tcW w:w="1984" w:type="dxa"/>
            <w:shd w:val="clear" w:color="auto" w:fill="auto"/>
            <w:vAlign w:val="center"/>
          </w:tcPr>
          <w:p w14:paraId="353A3EDC" w14:textId="77777777" w:rsidR="00D26039" w:rsidRPr="005150E9" w:rsidRDefault="00B30650">
            <w:pPr>
              <w:widowControl/>
              <w:jc w:val="right"/>
              <w:rPr>
                <w:color w:val="000000"/>
                <w:kern w:val="0"/>
                <w:szCs w:val="21"/>
              </w:rPr>
            </w:pPr>
            <w:r w:rsidRPr="005150E9">
              <w:rPr>
                <w:color w:val="000000"/>
                <w:szCs w:val="21"/>
              </w:rPr>
              <w:t xml:space="preserve">4,549.77 </w:t>
            </w:r>
          </w:p>
        </w:tc>
        <w:tc>
          <w:tcPr>
            <w:tcW w:w="1701" w:type="dxa"/>
            <w:shd w:val="clear" w:color="auto" w:fill="auto"/>
            <w:vAlign w:val="center"/>
          </w:tcPr>
          <w:p w14:paraId="168A57FD" w14:textId="77777777" w:rsidR="00D26039" w:rsidRPr="005150E9" w:rsidRDefault="00B30650">
            <w:pPr>
              <w:jc w:val="right"/>
              <w:rPr>
                <w:szCs w:val="21"/>
              </w:rPr>
            </w:pPr>
            <w:r w:rsidRPr="005150E9">
              <w:rPr>
                <w:color w:val="000000"/>
                <w:szCs w:val="21"/>
              </w:rPr>
              <w:t xml:space="preserve">5,004.75 </w:t>
            </w:r>
          </w:p>
        </w:tc>
        <w:tc>
          <w:tcPr>
            <w:tcW w:w="1843" w:type="dxa"/>
            <w:shd w:val="clear" w:color="auto" w:fill="auto"/>
            <w:vAlign w:val="center"/>
          </w:tcPr>
          <w:p w14:paraId="545E451F" w14:textId="77777777" w:rsidR="00D26039" w:rsidRPr="005150E9" w:rsidRDefault="00B30650">
            <w:pPr>
              <w:jc w:val="right"/>
              <w:rPr>
                <w:szCs w:val="21"/>
              </w:rPr>
            </w:pPr>
            <w:r w:rsidRPr="005150E9">
              <w:rPr>
                <w:color w:val="000000"/>
                <w:szCs w:val="21"/>
              </w:rPr>
              <w:t xml:space="preserve">5,004.75 </w:t>
            </w:r>
          </w:p>
        </w:tc>
      </w:tr>
      <w:tr w:rsidR="005150E9" w:rsidRPr="005150E9" w14:paraId="620D942B" w14:textId="77777777" w:rsidTr="006C23E1">
        <w:trPr>
          <w:trHeight w:val="397"/>
          <w:jc w:val="center"/>
        </w:trPr>
        <w:tc>
          <w:tcPr>
            <w:tcW w:w="4372" w:type="dxa"/>
            <w:shd w:val="clear" w:color="auto" w:fill="auto"/>
            <w:vAlign w:val="center"/>
          </w:tcPr>
          <w:p w14:paraId="5F0F3B04" w14:textId="77777777" w:rsidR="005150E9" w:rsidRPr="005150E9" w:rsidRDefault="005150E9" w:rsidP="005150E9">
            <w:pPr>
              <w:widowControl/>
              <w:rPr>
                <w:color w:val="000000"/>
                <w:kern w:val="0"/>
                <w:szCs w:val="21"/>
              </w:rPr>
            </w:pPr>
            <w:r w:rsidRPr="005150E9">
              <w:rPr>
                <w:color w:val="000000"/>
                <w:kern w:val="0"/>
                <w:szCs w:val="21"/>
              </w:rPr>
              <w:t>基本每股收益（元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6657F001" w14:textId="1C24332A" w:rsidR="005150E9" w:rsidRPr="005150E9" w:rsidRDefault="005150E9" w:rsidP="005150E9">
            <w:pPr>
              <w:widowControl/>
              <w:jc w:val="right"/>
              <w:rPr>
                <w:color w:val="000000"/>
                <w:kern w:val="0"/>
                <w:szCs w:val="21"/>
              </w:rPr>
            </w:pPr>
            <w:r w:rsidRPr="005150E9">
              <w:t xml:space="preserve">0.0901 </w:t>
            </w:r>
          </w:p>
        </w:tc>
        <w:tc>
          <w:tcPr>
            <w:tcW w:w="1701" w:type="dxa"/>
            <w:shd w:val="clear" w:color="auto" w:fill="auto"/>
            <w:vAlign w:val="center"/>
          </w:tcPr>
          <w:p w14:paraId="569F3140" w14:textId="24B06E1F" w:rsidR="005150E9" w:rsidRPr="005150E9" w:rsidRDefault="005150E9" w:rsidP="005150E9">
            <w:pPr>
              <w:jc w:val="right"/>
              <w:rPr>
                <w:szCs w:val="21"/>
              </w:rPr>
            </w:pPr>
            <w:r w:rsidRPr="005150E9">
              <w:t xml:space="preserve">0.0991 </w:t>
            </w:r>
          </w:p>
        </w:tc>
        <w:tc>
          <w:tcPr>
            <w:tcW w:w="1843" w:type="dxa"/>
            <w:shd w:val="clear" w:color="auto" w:fill="auto"/>
            <w:vAlign w:val="center"/>
          </w:tcPr>
          <w:p w14:paraId="34314AC1" w14:textId="294D4BC7" w:rsidR="005150E9" w:rsidRPr="005150E9" w:rsidRDefault="005150E9" w:rsidP="005150E9">
            <w:pPr>
              <w:jc w:val="right"/>
              <w:rPr>
                <w:szCs w:val="21"/>
              </w:rPr>
            </w:pPr>
            <w:r w:rsidRPr="005150E9">
              <w:t xml:space="preserve">0.0967 </w:t>
            </w:r>
          </w:p>
        </w:tc>
      </w:tr>
      <w:tr w:rsidR="005150E9" w:rsidRPr="005150E9" w14:paraId="1DBAA299" w14:textId="77777777" w:rsidTr="006C23E1">
        <w:trPr>
          <w:trHeight w:val="397"/>
          <w:jc w:val="center"/>
        </w:trPr>
        <w:tc>
          <w:tcPr>
            <w:tcW w:w="4372" w:type="dxa"/>
            <w:shd w:val="clear" w:color="auto" w:fill="auto"/>
            <w:vAlign w:val="center"/>
          </w:tcPr>
          <w:p w14:paraId="3DFA2F74" w14:textId="77777777" w:rsidR="005150E9" w:rsidRPr="005150E9" w:rsidRDefault="005150E9" w:rsidP="005150E9">
            <w:pPr>
              <w:widowControl/>
              <w:rPr>
                <w:color w:val="000000"/>
                <w:kern w:val="0"/>
                <w:szCs w:val="21"/>
              </w:rPr>
            </w:pPr>
            <w:r w:rsidRPr="005150E9">
              <w:rPr>
                <w:color w:val="000000"/>
                <w:kern w:val="0"/>
                <w:szCs w:val="21"/>
              </w:rPr>
              <w:t>扣除非经常性损益后的基本每股收益（元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41FB5C51" w14:textId="3E3B364A" w:rsidR="005150E9" w:rsidRPr="005150E9" w:rsidRDefault="005150E9" w:rsidP="005150E9">
            <w:pPr>
              <w:widowControl/>
              <w:jc w:val="right"/>
              <w:rPr>
                <w:color w:val="000000"/>
                <w:kern w:val="0"/>
                <w:szCs w:val="21"/>
              </w:rPr>
            </w:pPr>
            <w:r w:rsidRPr="005150E9">
              <w:t>0.0806</w:t>
            </w:r>
          </w:p>
        </w:tc>
        <w:tc>
          <w:tcPr>
            <w:tcW w:w="1701" w:type="dxa"/>
            <w:shd w:val="clear" w:color="auto" w:fill="auto"/>
            <w:vAlign w:val="center"/>
          </w:tcPr>
          <w:p w14:paraId="63116DD5" w14:textId="5B74BC4B" w:rsidR="005150E9" w:rsidRPr="005150E9" w:rsidRDefault="005150E9" w:rsidP="005150E9">
            <w:pPr>
              <w:jc w:val="right"/>
              <w:rPr>
                <w:szCs w:val="21"/>
              </w:rPr>
            </w:pPr>
            <w:r w:rsidRPr="005150E9">
              <w:t xml:space="preserve">0.0887 </w:t>
            </w:r>
          </w:p>
        </w:tc>
        <w:tc>
          <w:tcPr>
            <w:tcW w:w="1843" w:type="dxa"/>
            <w:shd w:val="clear" w:color="auto" w:fill="auto"/>
            <w:vAlign w:val="center"/>
          </w:tcPr>
          <w:p w14:paraId="2EAF7F7D" w14:textId="4C0F2DB1" w:rsidR="005150E9" w:rsidRPr="005150E9" w:rsidRDefault="005150E9" w:rsidP="005150E9">
            <w:pPr>
              <w:jc w:val="right"/>
              <w:rPr>
                <w:szCs w:val="21"/>
              </w:rPr>
            </w:pPr>
            <w:r w:rsidRPr="005150E9">
              <w:t xml:space="preserve">0.0865 </w:t>
            </w:r>
          </w:p>
        </w:tc>
      </w:tr>
      <w:tr w:rsidR="005150E9" w:rsidRPr="005150E9" w14:paraId="42960071" w14:textId="77777777" w:rsidTr="006C23E1">
        <w:trPr>
          <w:trHeight w:val="397"/>
          <w:jc w:val="center"/>
        </w:trPr>
        <w:tc>
          <w:tcPr>
            <w:tcW w:w="4372" w:type="dxa"/>
            <w:shd w:val="clear" w:color="auto" w:fill="auto"/>
            <w:vAlign w:val="center"/>
          </w:tcPr>
          <w:p w14:paraId="1BFC864D" w14:textId="77777777" w:rsidR="005150E9" w:rsidRPr="005150E9" w:rsidRDefault="005150E9" w:rsidP="005150E9">
            <w:pPr>
              <w:widowControl/>
              <w:rPr>
                <w:color w:val="000000"/>
                <w:kern w:val="0"/>
                <w:szCs w:val="21"/>
              </w:rPr>
            </w:pPr>
            <w:r w:rsidRPr="005150E9">
              <w:rPr>
                <w:color w:val="000000"/>
                <w:kern w:val="0"/>
                <w:szCs w:val="21"/>
              </w:rPr>
              <w:t>稀释每股收益（元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41B8ECB9" w14:textId="4F19D361" w:rsidR="005150E9" w:rsidRPr="005150E9" w:rsidRDefault="005150E9" w:rsidP="005150E9">
            <w:pPr>
              <w:widowControl/>
              <w:jc w:val="right"/>
              <w:rPr>
                <w:color w:val="000000"/>
                <w:kern w:val="0"/>
                <w:szCs w:val="21"/>
              </w:rPr>
            </w:pPr>
            <w:r w:rsidRPr="005150E9">
              <w:t xml:space="preserve">0.0901 </w:t>
            </w:r>
          </w:p>
        </w:tc>
        <w:tc>
          <w:tcPr>
            <w:tcW w:w="1701" w:type="dxa"/>
            <w:shd w:val="clear" w:color="auto" w:fill="auto"/>
            <w:vAlign w:val="center"/>
          </w:tcPr>
          <w:p w14:paraId="6E5E4A40" w14:textId="1FA55D37" w:rsidR="005150E9" w:rsidRPr="005150E9" w:rsidRDefault="005150E9" w:rsidP="005150E9">
            <w:pPr>
              <w:jc w:val="right"/>
              <w:rPr>
                <w:szCs w:val="21"/>
              </w:rPr>
            </w:pPr>
            <w:r w:rsidRPr="005150E9">
              <w:t xml:space="preserve">0.0991 </w:t>
            </w:r>
          </w:p>
        </w:tc>
        <w:tc>
          <w:tcPr>
            <w:tcW w:w="1843" w:type="dxa"/>
            <w:shd w:val="clear" w:color="auto" w:fill="auto"/>
            <w:vAlign w:val="center"/>
          </w:tcPr>
          <w:p w14:paraId="3253594F" w14:textId="5EA8B00E" w:rsidR="005150E9" w:rsidRPr="005150E9" w:rsidRDefault="005150E9" w:rsidP="005150E9">
            <w:pPr>
              <w:jc w:val="right"/>
              <w:rPr>
                <w:szCs w:val="21"/>
              </w:rPr>
            </w:pPr>
            <w:r w:rsidRPr="005150E9">
              <w:t xml:space="preserve">0.0967 </w:t>
            </w:r>
          </w:p>
        </w:tc>
      </w:tr>
      <w:tr w:rsidR="005150E9" w:rsidRPr="005150E9" w14:paraId="40F2A833" w14:textId="77777777" w:rsidTr="006C23E1">
        <w:trPr>
          <w:trHeight w:val="397"/>
          <w:jc w:val="center"/>
        </w:trPr>
        <w:tc>
          <w:tcPr>
            <w:tcW w:w="4372" w:type="dxa"/>
            <w:shd w:val="clear" w:color="auto" w:fill="auto"/>
            <w:vAlign w:val="center"/>
          </w:tcPr>
          <w:p w14:paraId="0F9BD99A" w14:textId="77777777" w:rsidR="005150E9" w:rsidRPr="005150E9" w:rsidRDefault="005150E9" w:rsidP="005150E9">
            <w:pPr>
              <w:widowControl/>
              <w:rPr>
                <w:color w:val="000000"/>
                <w:kern w:val="0"/>
                <w:szCs w:val="21"/>
              </w:rPr>
            </w:pPr>
            <w:r w:rsidRPr="005150E9">
              <w:rPr>
                <w:color w:val="000000"/>
                <w:kern w:val="0"/>
                <w:szCs w:val="21"/>
              </w:rPr>
              <w:t>扣除非经常性损益后的稀释每股收益（元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68F7A7A8" w14:textId="5522E1CD" w:rsidR="005150E9" w:rsidRPr="005150E9" w:rsidRDefault="005150E9" w:rsidP="005150E9">
            <w:pPr>
              <w:widowControl/>
              <w:jc w:val="right"/>
              <w:rPr>
                <w:color w:val="000000"/>
                <w:kern w:val="0"/>
                <w:szCs w:val="21"/>
              </w:rPr>
            </w:pPr>
            <w:r w:rsidRPr="005150E9">
              <w:t>0.0806</w:t>
            </w:r>
          </w:p>
        </w:tc>
        <w:tc>
          <w:tcPr>
            <w:tcW w:w="1701" w:type="dxa"/>
            <w:shd w:val="clear" w:color="auto" w:fill="auto"/>
            <w:vAlign w:val="center"/>
          </w:tcPr>
          <w:p w14:paraId="7FE7D981" w14:textId="6B51A820" w:rsidR="005150E9" w:rsidRPr="005150E9" w:rsidRDefault="005150E9" w:rsidP="005150E9">
            <w:pPr>
              <w:jc w:val="right"/>
              <w:rPr>
                <w:szCs w:val="21"/>
              </w:rPr>
            </w:pPr>
            <w:r w:rsidRPr="005150E9">
              <w:t xml:space="preserve">0.0887 </w:t>
            </w:r>
          </w:p>
        </w:tc>
        <w:tc>
          <w:tcPr>
            <w:tcW w:w="1843" w:type="dxa"/>
            <w:shd w:val="clear" w:color="auto" w:fill="auto"/>
            <w:vAlign w:val="center"/>
          </w:tcPr>
          <w:p w14:paraId="7C902544" w14:textId="774C5062" w:rsidR="005150E9" w:rsidRPr="005150E9" w:rsidRDefault="005150E9" w:rsidP="005150E9">
            <w:pPr>
              <w:jc w:val="right"/>
              <w:rPr>
                <w:szCs w:val="21"/>
              </w:rPr>
            </w:pPr>
            <w:r w:rsidRPr="005150E9">
              <w:t xml:space="preserve">0.0865 </w:t>
            </w:r>
          </w:p>
        </w:tc>
      </w:tr>
      <w:tr w:rsidR="00D26039" w:rsidRPr="005150E9" w14:paraId="791392B7" w14:textId="77777777">
        <w:trPr>
          <w:trHeight w:val="397"/>
          <w:jc w:val="center"/>
        </w:trPr>
        <w:tc>
          <w:tcPr>
            <w:tcW w:w="9900" w:type="dxa"/>
            <w:gridSpan w:val="4"/>
            <w:shd w:val="clear" w:color="auto" w:fill="auto"/>
            <w:vAlign w:val="center"/>
          </w:tcPr>
          <w:p w14:paraId="382B882A" w14:textId="77777777" w:rsidR="00D26039" w:rsidRPr="005150E9" w:rsidRDefault="00B30650">
            <w:pPr>
              <w:widowControl/>
              <w:rPr>
                <w:b/>
                <w:bCs/>
                <w:color w:val="000000"/>
                <w:kern w:val="0"/>
                <w:szCs w:val="21"/>
              </w:rPr>
            </w:pPr>
            <w:r w:rsidRPr="005150E9">
              <w:rPr>
                <w:b/>
                <w:bCs/>
                <w:color w:val="000000"/>
                <w:kern w:val="0"/>
                <w:szCs w:val="21"/>
              </w:rPr>
              <w:t>假设</w:t>
            </w:r>
            <w:r w:rsidRPr="005150E9">
              <w:rPr>
                <w:b/>
                <w:bCs/>
                <w:color w:val="000000"/>
                <w:kern w:val="0"/>
                <w:szCs w:val="21"/>
              </w:rPr>
              <w:t>2</w:t>
            </w:r>
            <w:r w:rsidRPr="005150E9">
              <w:rPr>
                <w:b/>
                <w:bCs/>
                <w:color w:val="000000"/>
                <w:kern w:val="0"/>
                <w:szCs w:val="21"/>
              </w:rPr>
              <w:t>：</w:t>
            </w:r>
            <w:proofErr w:type="gramStart"/>
            <w:r w:rsidRPr="005150E9">
              <w:rPr>
                <w:b/>
                <w:bCs/>
                <w:color w:val="000000"/>
                <w:kern w:val="0"/>
                <w:szCs w:val="21"/>
              </w:rPr>
              <w:t>2022</w:t>
            </w:r>
            <w:r w:rsidRPr="005150E9">
              <w:rPr>
                <w:b/>
                <w:bCs/>
                <w:color w:val="000000"/>
                <w:kern w:val="0"/>
                <w:szCs w:val="21"/>
              </w:rPr>
              <w:t>年扣非前后</w:t>
            </w:r>
            <w:proofErr w:type="gramEnd"/>
            <w:r w:rsidRPr="005150E9">
              <w:rPr>
                <w:b/>
                <w:bCs/>
                <w:color w:val="000000"/>
                <w:kern w:val="0"/>
                <w:szCs w:val="21"/>
              </w:rPr>
              <w:t>归属于上市公司股东的净利润较</w:t>
            </w:r>
            <w:r w:rsidRPr="005150E9">
              <w:rPr>
                <w:b/>
                <w:bCs/>
                <w:color w:val="000000"/>
                <w:kern w:val="0"/>
                <w:szCs w:val="21"/>
              </w:rPr>
              <w:t>2021</w:t>
            </w:r>
            <w:r w:rsidRPr="005150E9">
              <w:rPr>
                <w:b/>
                <w:bCs/>
                <w:color w:val="000000"/>
                <w:kern w:val="0"/>
                <w:szCs w:val="21"/>
              </w:rPr>
              <w:t>年持平</w:t>
            </w:r>
          </w:p>
        </w:tc>
      </w:tr>
      <w:tr w:rsidR="00D26039" w:rsidRPr="005150E9" w14:paraId="379A453A" w14:textId="77777777" w:rsidTr="006C23E1">
        <w:trPr>
          <w:trHeight w:val="397"/>
          <w:jc w:val="center"/>
        </w:trPr>
        <w:tc>
          <w:tcPr>
            <w:tcW w:w="4372" w:type="dxa"/>
            <w:shd w:val="clear" w:color="auto" w:fill="auto"/>
            <w:vAlign w:val="center"/>
          </w:tcPr>
          <w:p w14:paraId="7EF0600D" w14:textId="77777777" w:rsidR="00D26039" w:rsidRPr="005150E9" w:rsidRDefault="00B30650">
            <w:pPr>
              <w:widowControl/>
              <w:rPr>
                <w:color w:val="000000"/>
                <w:kern w:val="0"/>
                <w:szCs w:val="21"/>
              </w:rPr>
            </w:pPr>
            <w:r w:rsidRPr="005150E9">
              <w:rPr>
                <w:color w:val="000000"/>
                <w:kern w:val="0"/>
                <w:szCs w:val="21"/>
              </w:rPr>
              <w:t>归属于上市公司股东的净利润（万元）</w:t>
            </w:r>
          </w:p>
        </w:tc>
        <w:tc>
          <w:tcPr>
            <w:tcW w:w="1984" w:type="dxa"/>
            <w:shd w:val="clear" w:color="auto" w:fill="auto"/>
            <w:vAlign w:val="center"/>
          </w:tcPr>
          <w:p w14:paraId="66A1D060" w14:textId="77777777" w:rsidR="00D26039" w:rsidRPr="005150E9" w:rsidRDefault="00B30650">
            <w:pPr>
              <w:widowControl/>
              <w:jc w:val="right"/>
              <w:rPr>
                <w:color w:val="000000"/>
                <w:kern w:val="0"/>
                <w:szCs w:val="21"/>
              </w:rPr>
            </w:pPr>
            <w:r w:rsidRPr="005150E9">
              <w:rPr>
                <w:color w:val="000000"/>
                <w:szCs w:val="21"/>
              </w:rPr>
              <w:t xml:space="preserve">5,085.52 </w:t>
            </w:r>
          </w:p>
        </w:tc>
        <w:tc>
          <w:tcPr>
            <w:tcW w:w="1701" w:type="dxa"/>
            <w:shd w:val="clear" w:color="auto" w:fill="auto"/>
            <w:vAlign w:val="center"/>
          </w:tcPr>
          <w:p w14:paraId="68C3E43D" w14:textId="77777777" w:rsidR="00D26039" w:rsidRPr="005150E9" w:rsidRDefault="00B30650">
            <w:pPr>
              <w:widowControl/>
              <w:jc w:val="right"/>
              <w:rPr>
                <w:color w:val="000000"/>
                <w:kern w:val="0"/>
                <w:szCs w:val="21"/>
              </w:rPr>
            </w:pPr>
            <w:r w:rsidRPr="005150E9">
              <w:rPr>
                <w:color w:val="000000"/>
                <w:szCs w:val="21"/>
              </w:rPr>
              <w:t xml:space="preserve">5,085.52 </w:t>
            </w:r>
          </w:p>
        </w:tc>
        <w:tc>
          <w:tcPr>
            <w:tcW w:w="1843" w:type="dxa"/>
            <w:shd w:val="clear" w:color="auto" w:fill="auto"/>
            <w:vAlign w:val="center"/>
          </w:tcPr>
          <w:p w14:paraId="3E17F18B" w14:textId="77777777" w:rsidR="00D26039" w:rsidRPr="005150E9" w:rsidRDefault="00B30650">
            <w:pPr>
              <w:widowControl/>
              <w:jc w:val="right"/>
              <w:rPr>
                <w:color w:val="000000"/>
                <w:kern w:val="0"/>
                <w:szCs w:val="21"/>
              </w:rPr>
            </w:pPr>
            <w:r w:rsidRPr="005150E9">
              <w:rPr>
                <w:color w:val="000000"/>
                <w:szCs w:val="21"/>
              </w:rPr>
              <w:t xml:space="preserve">5,085.52 </w:t>
            </w:r>
          </w:p>
        </w:tc>
      </w:tr>
      <w:tr w:rsidR="00D26039" w:rsidRPr="005150E9" w14:paraId="19E68B46" w14:textId="77777777" w:rsidTr="006C23E1">
        <w:trPr>
          <w:trHeight w:val="397"/>
          <w:jc w:val="center"/>
        </w:trPr>
        <w:tc>
          <w:tcPr>
            <w:tcW w:w="4372" w:type="dxa"/>
            <w:shd w:val="clear" w:color="auto" w:fill="auto"/>
            <w:vAlign w:val="center"/>
          </w:tcPr>
          <w:p w14:paraId="345E92D8" w14:textId="77777777" w:rsidR="00D26039" w:rsidRPr="005150E9" w:rsidRDefault="00B30650">
            <w:pPr>
              <w:widowControl/>
              <w:rPr>
                <w:color w:val="000000"/>
                <w:kern w:val="0"/>
                <w:szCs w:val="21"/>
              </w:rPr>
            </w:pPr>
            <w:r w:rsidRPr="005150E9">
              <w:rPr>
                <w:color w:val="000000"/>
                <w:kern w:val="0"/>
                <w:szCs w:val="21"/>
              </w:rPr>
              <w:t>归属于上市公司股东的扣除非经常性损益的净利润（万元）</w:t>
            </w:r>
          </w:p>
        </w:tc>
        <w:tc>
          <w:tcPr>
            <w:tcW w:w="1984" w:type="dxa"/>
            <w:shd w:val="clear" w:color="auto" w:fill="auto"/>
            <w:vAlign w:val="center"/>
          </w:tcPr>
          <w:p w14:paraId="2B343AF7" w14:textId="77777777" w:rsidR="00D26039" w:rsidRPr="005150E9" w:rsidRDefault="00B30650">
            <w:pPr>
              <w:widowControl/>
              <w:jc w:val="right"/>
              <w:rPr>
                <w:color w:val="000000"/>
                <w:kern w:val="0"/>
                <w:szCs w:val="21"/>
              </w:rPr>
            </w:pPr>
            <w:r w:rsidRPr="005150E9">
              <w:rPr>
                <w:color w:val="000000"/>
                <w:szCs w:val="21"/>
              </w:rPr>
              <w:t xml:space="preserve">4,549.77 </w:t>
            </w:r>
          </w:p>
        </w:tc>
        <w:tc>
          <w:tcPr>
            <w:tcW w:w="1701" w:type="dxa"/>
            <w:shd w:val="clear" w:color="auto" w:fill="auto"/>
            <w:vAlign w:val="center"/>
          </w:tcPr>
          <w:p w14:paraId="0DC6EF0C" w14:textId="77777777" w:rsidR="00D26039" w:rsidRPr="005150E9" w:rsidRDefault="00B30650">
            <w:pPr>
              <w:widowControl/>
              <w:jc w:val="right"/>
              <w:rPr>
                <w:color w:val="000000"/>
                <w:kern w:val="0"/>
                <w:szCs w:val="21"/>
              </w:rPr>
            </w:pPr>
            <w:r w:rsidRPr="005150E9">
              <w:rPr>
                <w:color w:val="000000"/>
                <w:szCs w:val="21"/>
              </w:rPr>
              <w:t xml:space="preserve">4,549.77 </w:t>
            </w:r>
          </w:p>
        </w:tc>
        <w:tc>
          <w:tcPr>
            <w:tcW w:w="1843" w:type="dxa"/>
            <w:shd w:val="clear" w:color="auto" w:fill="auto"/>
            <w:vAlign w:val="center"/>
          </w:tcPr>
          <w:p w14:paraId="23CD669E" w14:textId="77777777" w:rsidR="00D26039" w:rsidRPr="005150E9" w:rsidRDefault="00B30650">
            <w:pPr>
              <w:widowControl/>
              <w:jc w:val="right"/>
              <w:rPr>
                <w:color w:val="000000"/>
                <w:kern w:val="0"/>
                <w:szCs w:val="21"/>
              </w:rPr>
            </w:pPr>
            <w:r w:rsidRPr="005150E9">
              <w:rPr>
                <w:color w:val="000000"/>
                <w:szCs w:val="21"/>
              </w:rPr>
              <w:t xml:space="preserve">4,549.77 </w:t>
            </w:r>
          </w:p>
        </w:tc>
      </w:tr>
      <w:tr w:rsidR="005150E9" w:rsidRPr="005150E9" w14:paraId="7CC227EB" w14:textId="77777777" w:rsidTr="006C23E1">
        <w:trPr>
          <w:trHeight w:val="397"/>
          <w:jc w:val="center"/>
        </w:trPr>
        <w:tc>
          <w:tcPr>
            <w:tcW w:w="4372" w:type="dxa"/>
            <w:shd w:val="clear" w:color="auto" w:fill="auto"/>
            <w:vAlign w:val="center"/>
          </w:tcPr>
          <w:p w14:paraId="3C79C808" w14:textId="77777777" w:rsidR="005150E9" w:rsidRPr="005150E9" w:rsidRDefault="005150E9" w:rsidP="005150E9">
            <w:pPr>
              <w:widowControl/>
              <w:rPr>
                <w:color w:val="000000"/>
                <w:kern w:val="0"/>
                <w:szCs w:val="21"/>
              </w:rPr>
            </w:pPr>
            <w:r w:rsidRPr="005150E9">
              <w:rPr>
                <w:color w:val="000000"/>
                <w:kern w:val="0"/>
                <w:szCs w:val="21"/>
              </w:rPr>
              <w:t>基本每股收益（元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26FBBF50" w14:textId="44EFEBB2" w:rsidR="005150E9" w:rsidRPr="005150E9" w:rsidRDefault="005150E9" w:rsidP="005150E9">
            <w:pPr>
              <w:widowControl/>
              <w:jc w:val="right"/>
              <w:rPr>
                <w:color w:val="000000"/>
                <w:kern w:val="0"/>
                <w:szCs w:val="21"/>
              </w:rPr>
            </w:pPr>
            <w:r w:rsidRPr="005150E9">
              <w:t xml:space="preserve">0.0901 </w:t>
            </w:r>
          </w:p>
        </w:tc>
        <w:tc>
          <w:tcPr>
            <w:tcW w:w="1701" w:type="dxa"/>
            <w:shd w:val="clear" w:color="auto" w:fill="auto"/>
            <w:vAlign w:val="center"/>
          </w:tcPr>
          <w:p w14:paraId="22E722D3" w14:textId="6B5861E1" w:rsidR="005150E9" w:rsidRPr="005150E9" w:rsidRDefault="005150E9" w:rsidP="005150E9">
            <w:pPr>
              <w:widowControl/>
              <w:jc w:val="right"/>
              <w:rPr>
                <w:color w:val="000000"/>
                <w:kern w:val="0"/>
                <w:szCs w:val="21"/>
              </w:rPr>
            </w:pPr>
            <w:r w:rsidRPr="005150E9">
              <w:t xml:space="preserve">0.0901 </w:t>
            </w:r>
          </w:p>
        </w:tc>
        <w:tc>
          <w:tcPr>
            <w:tcW w:w="1843" w:type="dxa"/>
            <w:shd w:val="clear" w:color="auto" w:fill="auto"/>
            <w:vAlign w:val="center"/>
          </w:tcPr>
          <w:p w14:paraId="182FCC6D" w14:textId="4EED6EF9" w:rsidR="005150E9" w:rsidRPr="005150E9" w:rsidRDefault="005150E9" w:rsidP="005150E9">
            <w:pPr>
              <w:widowControl/>
              <w:jc w:val="right"/>
              <w:rPr>
                <w:color w:val="000000"/>
                <w:kern w:val="0"/>
                <w:szCs w:val="21"/>
              </w:rPr>
            </w:pPr>
            <w:r w:rsidRPr="005150E9">
              <w:t xml:space="preserve">0.0879 </w:t>
            </w:r>
          </w:p>
        </w:tc>
      </w:tr>
      <w:tr w:rsidR="005150E9" w:rsidRPr="005150E9" w14:paraId="356A2A0A" w14:textId="77777777" w:rsidTr="006C23E1">
        <w:trPr>
          <w:trHeight w:val="397"/>
          <w:jc w:val="center"/>
        </w:trPr>
        <w:tc>
          <w:tcPr>
            <w:tcW w:w="4372" w:type="dxa"/>
            <w:shd w:val="clear" w:color="auto" w:fill="auto"/>
            <w:vAlign w:val="center"/>
          </w:tcPr>
          <w:p w14:paraId="3F8256A9" w14:textId="77777777" w:rsidR="005150E9" w:rsidRPr="005150E9" w:rsidRDefault="005150E9" w:rsidP="005150E9">
            <w:pPr>
              <w:widowControl/>
              <w:rPr>
                <w:color w:val="000000"/>
                <w:kern w:val="0"/>
                <w:szCs w:val="21"/>
              </w:rPr>
            </w:pPr>
            <w:r w:rsidRPr="005150E9">
              <w:rPr>
                <w:color w:val="000000"/>
                <w:kern w:val="0"/>
                <w:szCs w:val="21"/>
              </w:rPr>
              <w:t>扣除非经常性损益后的基本每股收益（元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064367A4" w14:textId="4417AACE" w:rsidR="005150E9" w:rsidRPr="005150E9" w:rsidRDefault="005150E9" w:rsidP="005150E9">
            <w:pPr>
              <w:widowControl/>
              <w:jc w:val="right"/>
              <w:rPr>
                <w:color w:val="000000"/>
                <w:kern w:val="0"/>
                <w:szCs w:val="21"/>
              </w:rPr>
            </w:pPr>
            <w:r w:rsidRPr="005150E9">
              <w:t>0.0806</w:t>
            </w:r>
          </w:p>
        </w:tc>
        <w:tc>
          <w:tcPr>
            <w:tcW w:w="1701" w:type="dxa"/>
            <w:shd w:val="clear" w:color="auto" w:fill="auto"/>
            <w:vAlign w:val="center"/>
          </w:tcPr>
          <w:p w14:paraId="62EBB4AD" w14:textId="3E159D82" w:rsidR="005150E9" w:rsidRPr="005150E9" w:rsidRDefault="005150E9" w:rsidP="005150E9">
            <w:pPr>
              <w:widowControl/>
              <w:jc w:val="right"/>
              <w:rPr>
                <w:color w:val="000000"/>
                <w:kern w:val="0"/>
                <w:szCs w:val="21"/>
              </w:rPr>
            </w:pPr>
            <w:r w:rsidRPr="005150E9">
              <w:t>0.0806</w:t>
            </w:r>
          </w:p>
        </w:tc>
        <w:tc>
          <w:tcPr>
            <w:tcW w:w="1843" w:type="dxa"/>
            <w:shd w:val="clear" w:color="auto" w:fill="auto"/>
            <w:vAlign w:val="center"/>
          </w:tcPr>
          <w:p w14:paraId="077F303C" w14:textId="1A6FD6CA" w:rsidR="005150E9" w:rsidRPr="005150E9" w:rsidRDefault="005150E9" w:rsidP="005150E9">
            <w:pPr>
              <w:widowControl/>
              <w:jc w:val="right"/>
              <w:rPr>
                <w:color w:val="000000"/>
                <w:kern w:val="0"/>
                <w:szCs w:val="21"/>
              </w:rPr>
            </w:pPr>
            <w:r w:rsidRPr="005150E9">
              <w:t xml:space="preserve">0.0787 </w:t>
            </w:r>
          </w:p>
        </w:tc>
      </w:tr>
      <w:tr w:rsidR="005150E9" w:rsidRPr="005150E9" w14:paraId="3B5CBEDE" w14:textId="77777777" w:rsidTr="006C23E1">
        <w:trPr>
          <w:trHeight w:val="397"/>
          <w:jc w:val="center"/>
        </w:trPr>
        <w:tc>
          <w:tcPr>
            <w:tcW w:w="4372" w:type="dxa"/>
            <w:shd w:val="clear" w:color="auto" w:fill="auto"/>
            <w:vAlign w:val="center"/>
          </w:tcPr>
          <w:p w14:paraId="44DB9CF8" w14:textId="77777777" w:rsidR="005150E9" w:rsidRPr="005150E9" w:rsidRDefault="005150E9" w:rsidP="005150E9">
            <w:pPr>
              <w:widowControl/>
              <w:rPr>
                <w:color w:val="000000"/>
                <w:kern w:val="0"/>
                <w:szCs w:val="21"/>
              </w:rPr>
            </w:pPr>
            <w:r w:rsidRPr="005150E9">
              <w:rPr>
                <w:color w:val="000000"/>
                <w:kern w:val="0"/>
                <w:szCs w:val="21"/>
              </w:rPr>
              <w:t>稀释每股收益（元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3821C00B" w14:textId="5832FE69" w:rsidR="005150E9" w:rsidRPr="005150E9" w:rsidRDefault="005150E9" w:rsidP="005150E9">
            <w:pPr>
              <w:widowControl/>
              <w:jc w:val="right"/>
              <w:rPr>
                <w:color w:val="000000"/>
                <w:kern w:val="0"/>
                <w:szCs w:val="21"/>
              </w:rPr>
            </w:pPr>
            <w:r w:rsidRPr="005150E9">
              <w:t xml:space="preserve">0.0901 </w:t>
            </w:r>
          </w:p>
        </w:tc>
        <w:tc>
          <w:tcPr>
            <w:tcW w:w="1701" w:type="dxa"/>
            <w:shd w:val="clear" w:color="auto" w:fill="auto"/>
            <w:vAlign w:val="center"/>
          </w:tcPr>
          <w:p w14:paraId="01D139B2" w14:textId="1C55EC4C" w:rsidR="005150E9" w:rsidRPr="005150E9" w:rsidRDefault="005150E9" w:rsidP="005150E9">
            <w:pPr>
              <w:widowControl/>
              <w:jc w:val="right"/>
              <w:rPr>
                <w:color w:val="000000"/>
                <w:kern w:val="0"/>
                <w:szCs w:val="21"/>
              </w:rPr>
            </w:pPr>
            <w:r w:rsidRPr="005150E9">
              <w:t xml:space="preserve">0.0901 </w:t>
            </w:r>
          </w:p>
        </w:tc>
        <w:tc>
          <w:tcPr>
            <w:tcW w:w="1843" w:type="dxa"/>
            <w:shd w:val="clear" w:color="auto" w:fill="auto"/>
            <w:vAlign w:val="center"/>
          </w:tcPr>
          <w:p w14:paraId="529F1105" w14:textId="49965D09" w:rsidR="005150E9" w:rsidRPr="005150E9" w:rsidRDefault="005150E9" w:rsidP="005150E9">
            <w:pPr>
              <w:widowControl/>
              <w:jc w:val="right"/>
              <w:rPr>
                <w:color w:val="000000"/>
                <w:kern w:val="0"/>
                <w:szCs w:val="21"/>
              </w:rPr>
            </w:pPr>
            <w:r w:rsidRPr="005150E9">
              <w:t xml:space="preserve">0.0879 </w:t>
            </w:r>
          </w:p>
        </w:tc>
      </w:tr>
      <w:tr w:rsidR="005150E9" w:rsidRPr="005150E9" w14:paraId="2BAA56B3" w14:textId="77777777" w:rsidTr="006C23E1">
        <w:trPr>
          <w:trHeight w:val="397"/>
          <w:jc w:val="center"/>
        </w:trPr>
        <w:tc>
          <w:tcPr>
            <w:tcW w:w="4372" w:type="dxa"/>
            <w:shd w:val="clear" w:color="auto" w:fill="auto"/>
            <w:vAlign w:val="center"/>
          </w:tcPr>
          <w:p w14:paraId="70131127" w14:textId="77777777" w:rsidR="005150E9" w:rsidRPr="005150E9" w:rsidRDefault="005150E9" w:rsidP="005150E9">
            <w:pPr>
              <w:widowControl/>
              <w:rPr>
                <w:color w:val="000000"/>
                <w:kern w:val="0"/>
                <w:szCs w:val="21"/>
              </w:rPr>
            </w:pPr>
            <w:r w:rsidRPr="005150E9">
              <w:rPr>
                <w:color w:val="000000"/>
                <w:kern w:val="0"/>
                <w:szCs w:val="21"/>
              </w:rPr>
              <w:t>扣除非经常性损益后的稀释每股收益（元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26860273" w14:textId="358106FE" w:rsidR="005150E9" w:rsidRPr="005150E9" w:rsidRDefault="005150E9" w:rsidP="005150E9">
            <w:pPr>
              <w:widowControl/>
              <w:jc w:val="right"/>
              <w:rPr>
                <w:color w:val="000000"/>
                <w:kern w:val="0"/>
                <w:szCs w:val="21"/>
              </w:rPr>
            </w:pPr>
            <w:r w:rsidRPr="005150E9">
              <w:t>0.0806</w:t>
            </w:r>
          </w:p>
        </w:tc>
        <w:tc>
          <w:tcPr>
            <w:tcW w:w="1701" w:type="dxa"/>
            <w:shd w:val="clear" w:color="auto" w:fill="auto"/>
            <w:vAlign w:val="center"/>
          </w:tcPr>
          <w:p w14:paraId="7E18C439" w14:textId="4A46F3DA" w:rsidR="005150E9" w:rsidRPr="005150E9" w:rsidRDefault="005150E9" w:rsidP="005150E9">
            <w:pPr>
              <w:widowControl/>
              <w:jc w:val="right"/>
              <w:rPr>
                <w:color w:val="000000"/>
                <w:kern w:val="0"/>
                <w:szCs w:val="21"/>
              </w:rPr>
            </w:pPr>
            <w:r w:rsidRPr="005150E9">
              <w:t>0.0806</w:t>
            </w:r>
          </w:p>
        </w:tc>
        <w:tc>
          <w:tcPr>
            <w:tcW w:w="1843" w:type="dxa"/>
            <w:shd w:val="clear" w:color="auto" w:fill="auto"/>
            <w:vAlign w:val="center"/>
          </w:tcPr>
          <w:p w14:paraId="172CC5BB" w14:textId="3CD022AD" w:rsidR="005150E9" w:rsidRPr="005150E9" w:rsidRDefault="005150E9" w:rsidP="005150E9">
            <w:pPr>
              <w:widowControl/>
              <w:jc w:val="right"/>
              <w:rPr>
                <w:color w:val="000000"/>
                <w:kern w:val="0"/>
                <w:szCs w:val="21"/>
              </w:rPr>
            </w:pPr>
            <w:r w:rsidRPr="005150E9">
              <w:t xml:space="preserve">0.0787 </w:t>
            </w:r>
          </w:p>
        </w:tc>
      </w:tr>
      <w:tr w:rsidR="00D26039" w:rsidRPr="005150E9" w14:paraId="0DEB5463" w14:textId="77777777">
        <w:trPr>
          <w:trHeight w:val="397"/>
          <w:jc w:val="center"/>
        </w:trPr>
        <w:tc>
          <w:tcPr>
            <w:tcW w:w="9900" w:type="dxa"/>
            <w:gridSpan w:val="4"/>
            <w:shd w:val="clear" w:color="auto" w:fill="auto"/>
            <w:vAlign w:val="center"/>
          </w:tcPr>
          <w:p w14:paraId="40CCDA9B" w14:textId="77777777" w:rsidR="00D26039" w:rsidRPr="005150E9" w:rsidRDefault="00B30650">
            <w:pPr>
              <w:widowControl/>
              <w:rPr>
                <w:b/>
                <w:bCs/>
                <w:color w:val="000000"/>
                <w:kern w:val="0"/>
                <w:szCs w:val="21"/>
              </w:rPr>
            </w:pPr>
            <w:r w:rsidRPr="005150E9">
              <w:rPr>
                <w:b/>
                <w:bCs/>
                <w:color w:val="000000"/>
                <w:kern w:val="0"/>
                <w:szCs w:val="21"/>
              </w:rPr>
              <w:t>假设</w:t>
            </w:r>
            <w:r w:rsidRPr="005150E9">
              <w:rPr>
                <w:b/>
                <w:bCs/>
                <w:color w:val="000000"/>
                <w:kern w:val="0"/>
                <w:szCs w:val="21"/>
              </w:rPr>
              <w:t>3</w:t>
            </w:r>
            <w:r w:rsidRPr="005150E9">
              <w:rPr>
                <w:b/>
                <w:bCs/>
                <w:color w:val="000000"/>
                <w:kern w:val="0"/>
                <w:szCs w:val="21"/>
              </w:rPr>
              <w:t>：</w:t>
            </w:r>
            <w:proofErr w:type="gramStart"/>
            <w:r w:rsidRPr="005150E9">
              <w:rPr>
                <w:b/>
                <w:bCs/>
                <w:color w:val="000000"/>
                <w:kern w:val="0"/>
                <w:szCs w:val="21"/>
              </w:rPr>
              <w:t>2022</w:t>
            </w:r>
            <w:r w:rsidRPr="005150E9">
              <w:rPr>
                <w:b/>
                <w:bCs/>
                <w:color w:val="000000"/>
                <w:kern w:val="0"/>
                <w:szCs w:val="21"/>
              </w:rPr>
              <w:t>年扣非前后</w:t>
            </w:r>
            <w:proofErr w:type="gramEnd"/>
            <w:r w:rsidRPr="005150E9">
              <w:rPr>
                <w:b/>
                <w:bCs/>
                <w:color w:val="000000"/>
                <w:kern w:val="0"/>
                <w:szCs w:val="21"/>
              </w:rPr>
              <w:t>归属于上市公司股东的净利润较</w:t>
            </w:r>
            <w:r w:rsidRPr="005150E9">
              <w:rPr>
                <w:b/>
                <w:bCs/>
                <w:color w:val="000000"/>
                <w:kern w:val="0"/>
                <w:szCs w:val="21"/>
              </w:rPr>
              <w:t>2021</w:t>
            </w:r>
            <w:r w:rsidRPr="005150E9">
              <w:rPr>
                <w:b/>
                <w:bCs/>
                <w:color w:val="000000"/>
                <w:kern w:val="0"/>
                <w:szCs w:val="21"/>
              </w:rPr>
              <w:t>年下降</w:t>
            </w:r>
            <w:r w:rsidRPr="005150E9">
              <w:rPr>
                <w:b/>
                <w:bCs/>
                <w:color w:val="000000"/>
                <w:kern w:val="0"/>
                <w:szCs w:val="21"/>
              </w:rPr>
              <w:t>10%</w:t>
            </w:r>
          </w:p>
        </w:tc>
      </w:tr>
      <w:tr w:rsidR="00D26039" w:rsidRPr="005150E9" w14:paraId="1769767C" w14:textId="77777777" w:rsidTr="006C23E1">
        <w:trPr>
          <w:trHeight w:val="397"/>
          <w:jc w:val="center"/>
        </w:trPr>
        <w:tc>
          <w:tcPr>
            <w:tcW w:w="4372" w:type="dxa"/>
            <w:shd w:val="clear" w:color="auto" w:fill="auto"/>
            <w:vAlign w:val="center"/>
          </w:tcPr>
          <w:p w14:paraId="181118E8" w14:textId="77777777" w:rsidR="00D26039" w:rsidRPr="005150E9" w:rsidRDefault="00B30650">
            <w:pPr>
              <w:widowControl/>
              <w:rPr>
                <w:color w:val="000000"/>
                <w:kern w:val="0"/>
                <w:szCs w:val="21"/>
              </w:rPr>
            </w:pPr>
            <w:r w:rsidRPr="005150E9">
              <w:rPr>
                <w:color w:val="000000"/>
                <w:kern w:val="0"/>
                <w:szCs w:val="21"/>
              </w:rPr>
              <w:t>归属于上市公司股东的净利润（万元）</w:t>
            </w:r>
          </w:p>
        </w:tc>
        <w:tc>
          <w:tcPr>
            <w:tcW w:w="1984" w:type="dxa"/>
            <w:shd w:val="clear" w:color="auto" w:fill="auto"/>
            <w:vAlign w:val="center"/>
          </w:tcPr>
          <w:p w14:paraId="62F545EF" w14:textId="77777777" w:rsidR="00D26039" w:rsidRPr="005150E9" w:rsidRDefault="00B30650">
            <w:pPr>
              <w:widowControl/>
              <w:jc w:val="right"/>
              <w:rPr>
                <w:color w:val="000000"/>
                <w:kern w:val="0"/>
                <w:szCs w:val="21"/>
              </w:rPr>
            </w:pPr>
            <w:r w:rsidRPr="005150E9">
              <w:rPr>
                <w:color w:val="000000"/>
                <w:szCs w:val="21"/>
              </w:rPr>
              <w:t xml:space="preserve">5,085.52 </w:t>
            </w:r>
          </w:p>
        </w:tc>
        <w:tc>
          <w:tcPr>
            <w:tcW w:w="1701" w:type="dxa"/>
            <w:shd w:val="clear" w:color="auto" w:fill="auto"/>
            <w:vAlign w:val="center"/>
          </w:tcPr>
          <w:p w14:paraId="7688D0DD" w14:textId="77777777" w:rsidR="00D26039" w:rsidRPr="005150E9" w:rsidRDefault="00B30650">
            <w:pPr>
              <w:jc w:val="right"/>
              <w:rPr>
                <w:szCs w:val="21"/>
              </w:rPr>
            </w:pPr>
            <w:r w:rsidRPr="005150E9">
              <w:rPr>
                <w:color w:val="000000"/>
                <w:szCs w:val="21"/>
              </w:rPr>
              <w:t xml:space="preserve">4,576.97 </w:t>
            </w:r>
          </w:p>
        </w:tc>
        <w:tc>
          <w:tcPr>
            <w:tcW w:w="1843" w:type="dxa"/>
            <w:shd w:val="clear" w:color="auto" w:fill="auto"/>
            <w:vAlign w:val="center"/>
          </w:tcPr>
          <w:p w14:paraId="79C1B5D4" w14:textId="77777777" w:rsidR="00D26039" w:rsidRPr="005150E9" w:rsidRDefault="00B30650">
            <w:pPr>
              <w:jc w:val="right"/>
              <w:rPr>
                <w:szCs w:val="21"/>
              </w:rPr>
            </w:pPr>
            <w:r w:rsidRPr="005150E9">
              <w:rPr>
                <w:color w:val="000000"/>
                <w:szCs w:val="21"/>
              </w:rPr>
              <w:t xml:space="preserve">4,576.97 </w:t>
            </w:r>
          </w:p>
        </w:tc>
      </w:tr>
      <w:tr w:rsidR="00D26039" w:rsidRPr="005150E9" w14:paraId="1D6C4BDE" w14:textId="77777777" w:rsidTr="006C23E1">
        <w:trPr>
          <w:trHeight w:val="397"/>
          <w:jc w:val="center"/>
        </w:trPr>
        <w:tc>
          <w:tcPr>
            <w:tcW w:w="4372" w:type="dxa"/>
            <w:shd w:val="clear" w:color="auto" w:fill="auto"/>
            <w:vAlign w:val="center"/>
          </w:tcPr>
          <w:p w14:paraId="43F33F40" w14:textId="77777777" w:rsidR="00D26039" w:rsidRPr="005150E9" w:rsidRDefault="00B30650">
            <w:pPr>
              <w:widowControl/>
              <w:rPr>
                <w:color w:val="000000"/>
                <w:kern w:val="0"/>
                <w:szCs w:val="21"/>
              </w:rPr>
            </w:pPr>
            <w:r w:rsidRPr="005150E9">
              <w:rPr>
                <w:color w:val="000000"/>
                <w:kern w:val="0"/>
                <w:szCs w:val="21"/>
              </w:rPr>
              <w:t>归属于上市公司股东的扣除非经常性损益的净利润（万元）</w:t>
            </w:r>
          </w:p>
        </w:tc>
        <w:tc>
          <w:tcPr>
            <w:tcW w:w="1984" w:type="dxa"/>
            <w:shd w:val="clear" w:color="auto" w:fill="auto"/>
            <w:vAlign w:val="center"/>
          </w:tcPr>
          <w:p w14:paraId="65CE49AC" w14:textId="77777777" w:rsidR="00D26039" w:rsidRPr="005150E9" w:rsidRDefault="00B30650">
            <w:pPr>
              <w:widowControl/>
              <w:jc w:val="right"/>
              <w:rPr>
                <w:color w:val="000000"/>
                <w:kern w:val="0"/>
                <w:szCs w:val="21"/>
              </w:rPr>
            </w:pPr>
            <w:r w:rsidRPr="005150E9">
              <w:rPr>
                <w:color w:val="000000"/>
                <w:szCs w:val="21"/>
              </w:rPr>
              <w:t xml:space="preserve">4,549.77 </w:t>
            </w:r>
          </w:p>
        </w:tc>
        <w:tc>
          <w:tcPr>
            <w:tcW w:w="1701" w:type="dxa"/>
            <w:shd w:val="clear" w:color="auto" w:fill="auto"/>
            <w:vAlign w:val="center"/>
          </w:tcPr>
          <w:p w14:paraId="35ED3A01" w14:textId="77777777" w:rsidR="00D26039" w:rsidRPr="005150E9" w:rsidRDefault="00B30650">
            <w:pPr>
              <w:jc w:val="right"/>
              <w:rPr>
                <w:szCs w:val="21"/>
              </w:rPr>
            </w:pPr>
            <w:r w:rsidRPr="005150E9">
              <w:rPr>
                <w:color w:val="000000"/>
                <w:szCs w:val="21"/>
              </w:rPr>
              <w:t xml:space="preserve">4,094.79 </w:t>
            </w:r>
          </w:p>
        </w:tc>
        <w:tc>
          <w:tcPr>
            <w:tcW w:w="1843" w:type="dxa"/>
            <w:shd w:val="clear" w:color="auto" w:fill="auto"/>
            <w:vAlign w:val="center"/>
          </w:tcPr>
          <w:p w14:paraId="68D70F21" w14:textId="77777777" w:rsidR="00D26039" w:rsidRPr="005150E9" w:rsidRDefault="00B30650">
            <w:pPr>
              <w:jc w:val="right"/>
              <w:rPr>
                <w:szCs w:val="21"/>
              </w:rPr>
            </w:pPr>
            <w:r w:rsidRPr="005150E9">
              <w:rPr>
                <w:color w:val="000000"/>
                <w:szCs w:val="21"/>
              </w:rPr>
              <w:t xml:space="preserve">4,094.79 </w:t>
            </w:r>
          </w:p>
        </w:tc>
      </w:tr>
      <w:tr w:rsidR="005150E9" w:rsidRPr="005150E9" w14:paraId="564F4911" w14:textId="77777777" w:rsidTr="006C23E1">
        <w:trPr>
          <w:trHeight w:val="397"/>
          <w:jc w:val="center"/>
        </w:trPr>
        <w:tc>
          <w:tcPr>
            <w:tcW w:w="4372" w:type="dxa"/>
            <w:shd w:val="clear" w:color="auto" w:fill="auto"/>
            <w:vAlign w:val="center"/>
          </w:tcPr>
          <w:p w14:paraId="5EA7462F" w14:textId="77777777" w:rsidR="005150E9" w:rsidRPr="005150E9" w:rsidRDefault="005150E9" w:rsidP="005150E9">
            <w:pPr>
              <w:widowControl/>
              <w:rPr>
                <w:color w:val="000000"/>
                <w:kern w:val="0"/>
                <w:szCs w:val="21"/>
              </w:rPr>
            </w:pPr>
            <w:r w:rsidRPr="005150E9">
              <w:rPr>
                <w:color w:val="000000"/>
                <w:kern w:val="0"/>
                <w:szCs w:val="21"/>
              </w:rPr>
              <w:t>基本每股收益（元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523C5E4D" w14:textId="39DEC2AD" w:rsidR="005150E9" w:rsidRPr="005150E9" w:rsidRDefault="005150E9" w:rsidP="005150E9">
            <w:pPr>
              <w:widowControl/>
              <w:jc w:val="right"/>
              <w:rPr>
                <w:color w:val="000000"/>
                <w:kern w:val="0"/>
                <w:szCs w:val="21"/>
              </w:rPr>
            </w:pPr>
            <w:r w:rsidRPr="005150E9">
              <w:t xml:space="preserve">0.0901 </w:t>
            </w:r>
          </w:p>
        </w:tc>
        <w:tc>
          <w:tcPr>
            <w:tcW w:w="1701" w:type="dxa"/>
            <w:shd w:val="clear" w:color="auto" w:fill="auto"/>
            <w:vAlign w:val="center"/>
          </w:tcPr>
          <w:p w14:paraId="70FA9905" w14:textId="5D1D6D78" w:rsidR="005150E9" w:rsidRPr="005150E9" w:rsidRDefault="005150E9" w:rsidP="005150E9">
            <w:pPr>
              <w:widowControl/>
              <w:jc w:val="right"/>
              <w:rPr>
                <w:color w:val="000000"/>
                <w:szCs w:val="21"/>
              </w:rPr>
            </w:pPr>
            <w:r w:rsidRPr="005150E9">
              <w:t xml:space="preserve">0.0811 </w:t>
            </w:r>
          </w:p>
        </w:tc>
        <w:tc>
          <w:tcPr>
            <w:tcW w:w="1843" w:type="dxa"/>
            <w:shd w:val="clear" w:color="auto" w:fill="auto"/>
            <w:vAlign w:val="center"/>
          </w:tcPr>
          <w:p w14:paraId="58CD47FB" w14:textId="34AD0587" w:rsidR="005150E9" w:rsidRPr="005150E9" w:rsidRDefault="005150E9" w:rsidP="005150E9">
            <w:pPr>
              <w:jc w:val="right"/>
              <w:rPr>
                <w:szCs w:val="21"/>
              </w:rPr>
            </w:pPr>
            <w:r w:rsidRPr="005150E9">
              <w:t xml:space="preserve">0.0791 </w:t>
            </w:r>
          </w:p>
        </w:tc>
      </w:tr>
      <w:tr w:rsidR="005150E9" w:rsidRPr="005150E9" w14:paraId="74DECD81" w14:textId="77777777" w:rsidTr="006C23E1">
        <w:trPr>
          <w:trHeight w:val="397"/>
          <w:jc w:val="center"/>
        </w:trPr>
        <w:tc>
          <w:tcPr>
            <w:tcW w:w="4372" w:type="dxa"/>
            <w:shd w:val="clear" w:color="auto" w:fill="auto"/>
            <w:vAlign w:val="center"/>
          </w:tcPr>
          <w:p w14:paraId="3AB2E5B2" w14:textId="77777777" w:rsidR="005150E9" w:rsidRPr="005150E9" w:rsidRDefault="005150E9" w:rsidP="005150E9">
            <w:pPr>
              <w:widowControl/>
              <w:rPr>
                <w:color w:val="000000"/>
                <w:kern w:val="0"/>
                <w:szCs w:val="21"/>
              </w:rPr>
            </w:pPr>
            <w:r w:rsidRPr="005150E9">
              <w:rPr>
                <w:color w:val="000000"/>
                <w:kern w:val="0"/>
                <w:szCs w:val="21"/>
              </w:rPr>
              <w:t>扣除非经常性损益后的基本每股收益（元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7C22B34E" w14:textId="30F474F3" w:rsidR="005150E9" w:rsidRPr="005150E9" w:rsidRDefault="005150E9" w:rsidP="005150E9">
            <w:pPr>
              <w:widowControl/>
              <w:jc w:val="right"/>
              <w:rPr>
                <w:color w:val="000000"/>
                <w:kern w:val="0"/>
                <w:szCs w:val="21"/>
              </w:rPr>
            </w:pPr>
            <w:r w:rsidRPr="005150E9">
              <w:t xml:space="preserve">0.0806 </w:t>
            </w:r>
          </w:p>
        </w:tc>
        <w:tc>
          <w:tcPr>
            <w:tcW w:w="1701" w:type="dxa"/>
            <w:shd w:val="clear" w:color="auto" w:fill="auto"/>
            <w:vAlign w:val="center"/>
          </w:tcPr>
          <w:p w14:paraId="5A45A8C7" w14:textId="369E69B9" w:rsidR="005150E9" w:rsidRPr="005150E9" w:rsidRDefault="005150E9" w:rsidP="005150E9">
            <w:pPr>
              <w:jc w:val="right"/>
              <w:rPr>
                <w:color w:val="000000"/>
                <w:szCs w:val="21"/>
              </w:rPr>
            </w:pPr>
            <w:r w:rsidRPr="005150E9">
              <w:t>0.072</w:t>
            </w:r>
            <w:r w:rsidR="00142CD6">
              <w:t>6</w:t>
            </w:r>
            <w:r w:rsidRPr="005150E9">
              <w:t xml:space="preserve"> </w:t>
            </w:r>
          </w:p>
        </w:tc>
        <w:tc>
          <w:tcPr>
            <w:tcW w:w="1843" w:type="dxa"/>
            <w:shd w:val="clear" w:color="auto" w:fill="auto"/>
            <w:vAlign w:val="center"/>
          </w:tcPr>
          <w:p w14:paraId="3D68B46F" w14:textId="142B9A3C" w:rsidR="005150E9" w:rsidRPr="005150E9" w:rsidRDefault="005150E9" w:rsidP="005150E9">
            <w:pPr>
              <w:jc w:val="right"/>
              <w:rPr>
                <w:szCs w:val="21"/>
              </w:rPr>
            </w:pPr>
            <w:r w:rsidRPr="005150E9">
              <w:t xml:space="preserve">0.0708 </w:t>
            </w:r>
          </w:p>
        </w:tc>
      </w:tr>
      <w:tr w:rsidR="005150E9" w:rsidRPr="005150E9" w14:paraId="5AB19063" w14:textId="77777777" w:rsidTr="006C23E1">
        <w:trPr>
          <w:trHeight w:val="397"/>
          <w:jc w:val="center"/>
        </w:trPr>
        <w:tc>
          <w:tcPr>
            <w:tcW w:w="4372" w:type="dxa"/>
            <w:shd w:val="clear" w:color="auto" w:fill="auto"/>
            <w:vAlign w:val="center"/>
          </w:tcPr>
          <w:p w14:paraId="227EBD22" w14:textId="77777777" w:rsidR="005150E9" w:rsidRPr="005150E9" w:rsidRDefault="005150E9" w:rsidP="005150E9">
            <w:pPr>
              <w:widowControl/>
              <w:rPr>
                <w:color w:val="000000"/>
                <w:kern w:val="0"/>
                <w:szCs w:val="21"/>
              </w:rPr>
            </w:pPr>
            <w:r w:rsidRPr="005150E9">
              <w:rPr>
                <w:color w:val="000000"/>
                <w:kern w:val="0"/>
                <w:szCs w:val="21"/>
              </w:rPr>
              <w:t>稀释每股收益（元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732A9126" w14:textId="195FECC2" w:rsidR="005150E9" w:rsidRPr="005150E9" w:rsidRDefault="005150E9" w:rsidP="005150E9">
            <w:pPr>
              <w:widowControl/>
              <w:jc w:val="right"/>
              <w:rPr>
                <w:color w:val="000000"/>
                <w:kern w:val="0"/>
                <w:szCs w:val="21"/>
              </w:rPr>
            </w:pPr>
            <w:r w:rsidRPr="005150E9">
              <w:t xml:space="preserve">0.0901 </w:t>
            </w:r>
          </w:p>
        </w:tc>
        <w:tc>
          <w:tcPr>
            <w:tcW w:w="1701" w:type="dxa"/>
            <w:shd w:val="clear" w:color="auto" w:fill="auto"/>
            <w:vAlign w:val="center"/>
          </w:tcPr>
          <w:p w14:paraId="430F49CD" w14:textId="7DC683B5" w:rsidR="005150E9" w:rsidRPr="005150E9" w:rsidRDefault="005150E9" w:rsidP="005150E9">
            <w:pPr>
              <w:jc w:val="right"/>
              <w:rPr>
                <w:color w:val="000000"/>
                <w:szCs w:val="21"/>
              </w:rPr>
            </w:pPr>
            <w:r w:rsidRPr="005150E9">
              <w:t xml:space="preserve">0.0811 </w:t>
            </w:r>
          </w:p>
        </w:tc>
        <w:tc>
          <w:tcPr>
            <w:tcW w:w="1843" w:type="dxa"/>
            <w:shd w:val="clear" w:color="auto" w:fill="auto"/>
            <w:vAlign w:val="center"/>
          </w:tcPr>
          <w:p w14:paraId="3C8F2600" w14:textId="77E1BE8B" w:rsidR="005150E9" w:rsidRPr="005150E9" w:rsidRDefault="005150E9" w:rsidP="005150E9">
            <w:pPr>
              <w:jc w:val="right"/>
              <w:rPr>
                <w:szCs w:val="21"/>
              </w:rPr>
            </w:pPr>
            <w:r w:rsidRPr="005150E9">
              <w:t xml:space="preserve">0.0791 </w:t>
            </w:r>
          </w:p>
        </w:tc>
      </w:tr>
      <w:tr w:rsidR="005150E9" w:rsidRPr="005150E9" w14:paraId="71306D54" w14:textId="77777777" w:rsidTr="006C23E1">
        <w:trPr>
          <w:trHeight w:val="397"/>
          <w:jc w:val="center"/>
        </w:trPr>
        <w:tc>
          <w:tcPr>
            <w:tcW w:w="4372" w:type="dxa"/>
            <w:shd w:val="clear" w:color="auto" w:fill="auto"/>
            <w:vAlign w:val="center"/>
          </w:tcPr>
          <w:p w14:paraId="68FCFD41" w14:textId="77777777" w:rsidR="005150E9" w:rsidRPr="005150E9" w:rsidRDefault="005150E9" w:rsidP="005150E9">
            <w:pPr>
              <w:widowControl/>
              <w:rPr>
                <w:color w:val="000000"/>
                <w:kern w:val="0"/>
                <w:szCs w:val="21"/>
              </w:rPr>
            </w:pPr>
            <w:r w:rsidRPr="005150E9">
              <w:rPr>
                <w:color w:val="000000"/>
                <w:kern w:val="0"/>
                <w:szCs w:val="21"/>
              </w:rPr>
              <w:t>扣除非经常性损益后的稀释每股收益（元</w:t>
            </w:r>
            <w:r w:rsidRPr="005150E9">
              <w:rPr>
                <w:color w:val="000000"/>
                <w:kern w:val="0"/>
                <w:szCs w:val="21"/>
              </w:rPr>
              <w:t>/</w:t>
            </w:r>
            <w:r w:rsidRPr="005150E9">
              <w:rPr>
                <w:color w:val="000000"/>
                <w:kern w:val="0"/>
                <w:szCs w:val="21"/>
              </w:rPr>
              <w:t>股）</w:t>
            </w:r>
          </w:p>
        </w:tc>
        <w:tc>
          <w:tcPr>
            <w:tcW w:w="1984" w:type="dxa"/>
            <w:shd w:val="clear" w:color="auto" w:fill="auto"/>
            <w:vAlign w:val="center"/>
          </w:tcPr>
          <w:p w14:paraId="4C8C97E8" w14:textId="070EFB1F" w:rsidR="005150E9" w:rsidRPr="005150E9" w:rsidRDefault="005150E9" w:rsidP="005150E9">
            <w:pPr>
              <w:widowControl/>
              <w:jc w:val="right"/>
              <w:rPr>
                <w:color w:val="000000"/>
                <w:kern w:val="0"/>
                <w:szCs w:val="21"/>
              </w:rPr>
            </w:pPr>
            <w:r w:rsidRPr="005150E9">
              <w:t xml:space="preserve">0.0806 </w:t>
            </w:r>
          </w:p>
        </w:tc>
        <w:tc>
          <w:tcPr>
            <w:tcW w:w="1701" w:type="dxa"/>
            <w:shd w:val="clear" w:color="auto" w:fill="auto"/>
            <w:vAlign w:val="center"/>
          </w:tcPr>
          <w:p w14:paraId="48AC6B55" w14:textId="61FFD62F" w:rsidR="005150E9" w:rsidRPr="005150E9" w:rsidRDefault="005150E9" w:rsidP="005150E9">
            <w:pPr>
              <w:jc w:val="right"/>
              <w:rPr>
                <w:color w:val="000000"/>
                <w:szCs w:val="21"/>
              </w:rPr>
            </w:pPr>
            <w:r w:rsidRPr="005150E9">
              <w:t xml:space="preserve">0.0726 </w:t>
            </w:r>
          </w:p>
        </w:tc>
        <w:tc>
          <w:tcPr>
            <w:tcW w:w="1843" w:type="dxa"/>
            <w:shd w:val="clear" w:color="auto" w:fill="auto"/>
            <w:vAlign w:val="center"/>
          </w:tcPr>
          <w:p w14:paraId="199E83BB" w14:textId="6609EF8B" w:rsidR="005150E9" w:rsidRPr="005150E9" w:rsidRDefault="005150E9" w:rsidP="005150E9">
            <w:pPr>
              <w:jc w:val="right"/>
              <w:rPr>
                <w:szCs w:val="21"/>
              </w:rPr>
            </w:pPr>
            <w:r w:rsidRPr="005150E9">
              <w:t xml:space="preserve">0.0708 </w:t>
            </w:r>
          </w:p>
        </w:tc>
      </w:tr>
    </w:tbl>
    <w:p w14:paraId="69DF2BE5" w14:textId="77777777" w:rsidR="00D26039" w:rsidRDefault="00D26039">
      <w:pPr>
        <w:autoSpaceDE w:val="0"/>
        <w:adjustRightInd w:val="0"/>
        <w:spacing w:line="360" w:lineRule="auto"/>
        <w:rPr>
          <w:rFonts w:ascii="宋体" w:hAnsi="宋体"/>
          <w:kern w:val="0"/>
          <w:sz w:val="24"/>
        </w:rPr>
      </w:pPr>
    </w:p>
    <w:p w14:paraId="31A3DE1D" w14:textId="77777777" w:rsidR="00D26039" w:rsidRDefault="00B30650">
      <w:pPr>
        <w:pStyle w:val="2"/>
        <w:autoSpaceDE w:val="0"/>
        <w:spacing w:beforeLines="50" w:before="156" w:afterLines="50" w:after="156" w:line="360" w:lineRule="auto"/>
        <w:rPr>
          <w:rFonts w:ascii="Times New Roman" w:hAnsi="Times New Roman"/>
          <w:szCs w:val="28"/>
        </w:rPr>
      </w:pPr>
      <w:bookmarkStart w:id="102" w:name="_Toc111905436"/>
      <w:r>
        <w:rPr>
          <w:rFonts w:ascii="Times New Roman" w:hAnsi="Times New Roman" w:hint="eastAsia"/>
          <w:szCs w:val="28"/>
        </w:rPr>
        <w:lastRenderedPageBreak/>
        <w:t>二、对于本次非公开发行摊薄即期回报的特别风险提示</w:t>
      </w:r>
      <w:bookmarkEnd w:id="102"/>
    </w:p>
    <w:p w14:paraId="768CC3EA" w14:textId="77777777" w:rsidR="00D26039" w:rsidRDefault="00B30650">
      <w:pPr>
        <w:autoSpaceDE w:val="0"/>
        <w:adjustRightInd w:val="0"/>
        <w:spacing w:beforeLines="50" w:before="156" w:afterLines="50" w:after="156" w:line="360" w:lineRule="auto"/>
        <w:ind w:firstLineChars="200" w:firstLine="480"/>
        <w:rPr>
          <w:kern w:val="0"/>
          <w:sz w:val="24"/>
        </w:rPr>
      </w:pPr>
      <w:r>
        <w:rPr>
          <w:rFonts w:hint="eastAsia"/>
          <w:kern w:val="0"/>
          <w:sz w:val="24"/>
        </w:rPr>
        <w:t>由于本次募集资金到位后从投入使用至</w:t>
      </w:r>
      <w:proofErr w:type="gramStart"/>
      <w:r>
        <w:rPr>
          <w:rFonts w:hint="eastAsia"/>
          <w:kern w:val="0"/>
          <w:sz w:val="24"/>
        </w:rPr>
        <w:t>募投项目</w:t>
      </w:r>
      <w:proofErr w:type="gramEnd"/>
      <w:r>
        <w:rPr>
          <w:rFonts w:hint="eastAsia"/>
          <w:kern w:val="0"/>
          <w:sz w:val="24"/>
        </w:rPr>
        <w:t>投产和产生效益需要一定周期，在</w:t>
      </w:r>
      <w:proofErr w:type="gramStart"/>
      <w:r>
        <w:rPr>
          <w:rFonts w:hint="eastAsia"/>
          <w:kern w:val="0"/>
          <w:sz w:val="24"/>
        </w:rPr>
        <w:t>募投项目</w:t>
      </w:r>
      <w:proofErr w:type="gramEnd"/>
      <w:r>
        <w:rPr>
          <w:rFonts w:hint="eastAsia"/>
          <w:kern w:val="0"/>
          <w:sz w:val="24"/>
        </w:rPr>
        <w:t>产生效益之前，股东回报仍然依赖于公司现有的业务基础，由于公司总股本增加，本次发行后将可能导致公司每股收益指标下降。本次发行存在摊</w:t>
      </w:r>
      <w:proofErr w:type="gramStart"/>
      <w:r>
        <w:rPr>
          <w:rFonts w:hint="eastAsia"/>
          <w:kern w:val="0"/>
          <w:sz w:val="24"/>
        </w:rPr>
        <w:t>薄公司</w:t>
      </w:r>
      <w:proofErr w:type="gramEnd"/>
      <w:r>
        <w:rPr>
          <w:rFonts w:hint="eastAsia"/>
          <w:kern w:val="0"/>
          <w:sz w:val="24"/>
        </w:rPr>
        <w:t>即期回报的风险。敬请广大投资者理性投资，并注意投资风险。</w:t>
      </w:r>
    </w:p>
    <w:p w14:paraId="1144EFDB" w14:textId="77777777" w:rsidR="00D26039" w:rsidRDefault="00B30650">
      <w:pPr>
        <w:keepNext/>
        <w:keepLines/>
        <w:widowControl/>
        <w:spacing w:beforeLines="50" w:before="156" w:afterLines="50" w:after="156" w:line="360" w:lineRule="auto"/>
        <w:outlineLvl w:val="1"/>
        <w:rPr>
          <w:rFonts w:eastAsia="黑体"/>
          <w:b/>
          <w:bCs/>
          <w:sz w:val="28"/>
          <w:szCs w:val="28"/>
        </w:rPr>
      </w:pPr>
      <w:bookmarkStart w:id="103" w:name="_Toc111905437"/>
      <w:bookmarkStart w:id="104" w:name="_Toc51156672"/>
      <w:bookmarkStart w:id="105" w:name="_Hlk48308272"/>
      <w:bookmarkStart w:id="106" w:name="_Hlk42794751"/>
      <w:r>
        <w:rPr>
          <w:rFonts w:eastAsia="黑体" w:hint="eastAsia"/>
          <w:b/>
          <w:bCs/>
          <w:sz w:val="28"/>
          <w:szCs w:val="28"/>
        </w:rPr>
        <w:t>三、本次非公开发行的必要性与合理性</w:t>
      </w:r>
      <w:bookmarkEnd w:id="103"/>
      <w:bookmarkEnd w:id="104"/>
    </w:p>
    <w:p w14:paraId="1CB2642D" w14:textId="77777777" w:rsidR="00D26039" w:rsidRDefault="00B30650">
      <w:pPr>
        <w:spacing w:beforeLines="50" w:before="156" w:afterLines="50" w:after="156" w:line="360" w:lineRule="auto"/>
        <w:ind w:firstLineChars="200" w:firstLine="480"/>
        <w:rPr>
          <w:rFonts w:ascii="宋体" w:hAnsi="宋体"/>
          <w:kern w:val="0"/>
          <w:sz w:val="24"/>
        </w:rPr>
      </w:pPr>
      <w:r>
        <w:rPr>
          <w:rFonts w:ascii="宋体" w:hAnsi="宋体" w:hint="eastAsia"/>
          <w:kern w:val="0"/>
          <w:sz w:val="24"/>
        </w:rPr>
        <w:t xml:space="preserve">本次非公开发行的必要性和合理性参见本预案“第四节 </w:t>
      </w:r>
      <w:r>
        <w:rPr>
          <w:rFonts w:ascii="宋体" w:hAnsi="宋体"/>
          <w:kern w:val="0"/>
          <w:sz w:val="24"/>
        </w:rPr>
        <w:t>董事会关于本次募集资金使用的可行性分析”。</w:t>
      </w:r>
    </w:p>
    <w:p w14:paraId="02B9CDFF" w14:textId="77777777" w:rsidR="00D26039" w:rsidRDefault="00B30650">
      <w:pPr>
        <w:keepNext/>
        <w:keepLines/>
        <w:widowControl/>
        <w:spacing w:beforeLines="50" w:before="156" w:afterLines="50" w:after="156" w:line="360" w:lineRule="auto"/>
        <w:outlineLvl w:val="1"/>
        <w:rPr>
          <w:rFonts w:eastAsia="黑体"/>
          <w:b/>
          <w:bCs/>
          <w:sz w:val="28"/>
          <w:szCs w:val="28"/>
        </w:rPr>
      </w:pPr>
      <w:bookmarkStart w:id="107" w:name="_Toc111905438"/>
      <w:bookmarkStart w:id="108" w:name="_Toc51156673"/>
      <w:r>
        <w:rPr>
          <w:rFonts w:eastAsia="黑体" w:hint="eastAsia"/>
          <w:b/>
          <w:bCs/>
          <w:sz w:val="28"/>
          <w:szCs w:val="28"/>
        </w:rPr>
        <w:t>四、本次募集资金投资项目与公司现有业务的关系，公司从事募集资金投资项目在人员、技术、市场等方面的储备情况</w:t>
      </w:r>
      <w:bookmarkEnd w:id="107"/>
    </w:p>
    <w:bookmarkEnd w:id="105"/>
    <w:bookmarkEnd w:id="106"/>
    <w:bookmarkEnd w:id="108"/>
    <w:p w14:paraId="2D20533B"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（一）本次募集资金投资项目与公司现有业务的关系</w:t>
      </w:r>
    </w:p>
    <w:p w14:paraId="4C25BCA0" w14:textId="687B64D3" w:rsidR="00D26039" w:rsidRDefault="00B30650">
      <w:pPr>
        <w:spacing w:beforeLines="50" w:before="156" w:afterLines="50" w:after="156" w:line="360" w:lineRule="auto"/>
        <w:ind w:firstLineChars="200" w:firstLine="480"/>
        <w:rPr>
          <w:rFonts w:ascii="宋体" w:hAnsi="宋体"/>
          <w:kern w:val="0"/>
          <w:sz w:val="24"/>
        </w:rPr>
      </w:pPr>
      <w:r>
        <w:rPr>
          <w:rFonts w:ascii="宋体" w:hAnsi="宋体" w:hint="eastAsia"/>
          <w:kern w:val="0"/>
          <w:sz w:val="24"/>
        </w:rPr>
        <w:t>本次非公开发行募集资金总额不超过</w:t>
      </w:r>
      <w:r>
        <w:rPr>
          <w:kern w:val="0"/>
          <w:sz w:val="24"/>
        </w:rPr>
        <w:t>40</w:t>
      </w:r>
      <w:r>
        <w:rPr>
          <w:rFonts w:ascii="宋体" w:hAnsi="宋体"/>
          <w:kern w:val="0"/>
          <w:sz w:val="24"/>
        </w:rPr>
        <w:t>,</w:t>
      </w:r>
      <w:r>
        <w:rPr>
          <w:kern w:val="0"/>
          <w:sz w:val="24"/>
        </w:rPr>
        <w:t>000.00</w:t>
      </w:r>
      <w:r>
        <w:rPr>
          <w:rFonts w:ascii="宋体" w:hAnsi="宋体"/>
          <w:kern w:val="0"/>
          <w:sz w:val="24"/>
        </w:rPr>
        <w:t>万元（含本数），扣除相关发行费用后</w:t>
      </w:r>
      <w:r>
        <w:rPr>
          <w:rFonts w:ascii="宋体" w:hAnsi="宋体" w:hint="eastAsia"/>
          <w:kern w:val="0"/>
          <w:sz w:val="24"/>
        </w:rPr>
        <w:t>拟用于“铜峰电子新能源用超薄型薄膜材料项目”以及补充流动资金，与公司现有业务保持一致。本次</w:t>
      </w:r>
      <w:proofErr w:type="gramStart"/>
      <w:r>
        <w:rPr>
          <w:rFonts w:ascii="宋体" w:hAnsi="宋体" w:hint="eastAsia"/>
          <w:kern w:val="0"/>
          <w:sz w:val="24"/>
        </w:rPr>
        <w:t>募投项目</w:t>
      </w:r>
      <w:proofErr w:type="gramEnd"/>
      <w:r>
        <w:rPr>
          <w:rFonts w:ascii="宋体" w:hAnsi="宋体" w:hint="eastAsia"/>
          <w:kern w:val="0"/>
          <w:sz w:val="24"/>
        </w:rPr>
        <w:t>的实施将扩大公司在电容器薄膜行业的市场份额，</w:t>
      </w:r>
      <w:r w:rsidR="000D3735">
        <w:rPr>
          <w:rFonts w:ascii="宋体" w:hAnsi="宋体" w:hint="eastAsia"/>
          <w:kern w:val="0"/>
          <w:sz w:val="24"/>
        </w:rPr>
        <w:t>升级并</w:t>
      </w:r>
      <w:r>
        <w:rPr>
          <w:rFonts w:ascii="宋体" w:hAnsi="宋体" w:hint="eastAsia"/>
          <w:kern w:val="0"/>
          <w:sz w:val="24"/>
        </w:rPr>
        <w:t>丰富产品结构，进一步提升公司影响力和市场价值，全方面实现公司健康、均衡、持续的发展。</w:t>
      </w:r>
    </w:p>
    <w:p w14:paraId="5EC22DD3" w14:textId="77777777" w:rsidR="00D26039" w:rsidRDefault="00B30650">
      <w:pPr>
        <w:spacing w:beforeLines="50" w:before="156" w:afterLines="50" w:after="156" w:line="360" w:lineRule="auto"/>
        <w:ind w:firstLineChars="200" w:firstLine="480"/>
        <w:rPr>
          <w:rFonts w:ascii="宋体" w:hAnsi="宋体"/>
          <w:kern w:val="0"/>
          <w:sz w:val="24"/>
        </w:rPr>
      </w:pPr>
      <w:r>
        <w:rPr>
          <w:rFonts w:ascii="宋体" w:hAnsi="宋体" w:hint="eastAsia"/>
          <w:kern w:val="0"/>
          <w:sz w:val="24"/>
        </w:rPr>
        <w:t>本次非公开发行后，公司的业务范围保持不变。</w:t>
      </w:r>
    </w:p>
    <w:p w14:paraId="5A64E07A"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（二）公司从事募集资金投资项目在人员、技术、市场等方面的储备情况</w:t>
      </w:r>
    </w:p>
    <w:p w14:paraId="6B048694" w14:textId="77777777" w:rsidR="00D26039" w:rsidRDefault="00B30650">
      <w:pPr>
        <w:spacing w:beforeLines="50" w:before="156" w:afterLines="50" w:after="156" w:line="360" w:lineRule="auto"/>
        <w:ind w:firstLineChars="200" w:firstLine="482"/>
        <w:rPr>
          <w:rFonts w:ascii="宋体" w:hAnsi="宋体"/>
          <w:b/>
          <w:bCs/>
          <w:kern w:val="0"/>
          <w:sz w:val="24"/>
        </w:rPr>
      </w:pPr>
      <w:r>
        <w:rPr>
          <w:rFonts w:hint="eastAsia"/>
          <w:b/>
          <w:bCs/>
          <w:kern w:val="0"/>
          <w:sz w:val="24"/>
        </w:rPr>
        <w:t>1</w:t>
      </w:r>
      <w:r>
        <w:rPr>
          <w:rFonts w:ascii="宋体" w:hAnsi="宋体" w:hint="eastAsia"/>
          <w:b/>
          <w:bCs/>
          <w:kern w:val="0"/>
          <w:sz w:val="24"/>
        </w:rPr>
        <w:t>、人员储备情况</w:t>
      </w:r>
    </w:p>
    <w:p w14:paraId="27ABC8F0" w14:textId="77777777" w:rsidR="00D26039" w:rsidRDefault="00B30650">
      <w:pPr>
        <w:spacing w:beforeLines="50" w:before="156" w:afterLines="50" w:after="156" w:line="360" w:lineRule="auto"/>
        <w:ind w:firstLineChars="200" w:firstLine="480"/>
        <w:rPr>
          <w:rFonts w:ascii="宋体" w:hAnsi="宋体"/>
          <w:kern w:val="0"/>
          <w:sz w:val="24"/>
        </w:rPr>
      </w:pPr>
      <w:r>
        <w:rPr>
          <w:rFonts w:ascii="宋体" w:hAnsi="宋体" w:hint="eastAsia"/>
          <w:kern w:val="0"/>
          <w:sz w:val="24"/>
        </w:rPr>
        <w:t>公司不断完善人才梯队建设、人才结构化培训体系、人才</w:t>
      </w:r>
      <w:proofErr w:type="gramStart"/>
      <w:r>
        <w:rPr>
          <w:rFonts w:ascii="宋体" w:hAnsi="宋体" w:hint="eastAsia"/>
          <w:kern w:val="0"/>
          <w:sz w:val="24"/>
        </w:rPr>
        <w:t>多职业</w:t>
      </w:r>
      <w:proofErr w:type="gramEnd"/>
      <w:r>
        <w:rPr>
          <w:rFonts w:ascii="宋体" w:hAnsi="宋体" w:hint="eastAsia"/>
          <w:kern w:val="0"/>
          <w:sz w:val="24"/>
        </w:rPr>
        <w:t>通道机制，建立管理团队职责明确、管理经验丰富的优秀团队；加快优化公司人才结构，采取“内部培养和外部引进”相结合的方式获取人才，形成良好的竞争意识和高效的工作环境。公司中、高层管理者已积累了丰富的经营管理经验，能够有效确保公司的经营方针和发展战略符合国家政策、市场变化和公司自身情况。</w:t>
      </w:r>
    </w:p>
    <w:p w14:paraId="04486BB1" w14:textId="77777777" w:rsidR="00D26039" w:rsidRDefault="00B30650">
      <w:pPr>
        <w:spacing w:beforeLines="50" w:before="156" w:afterLines="50" w:after="156" w:line="360" w:lineRule="auto"/>
        <w:ind w:firstLineChars="200" w:firstLine="482"/>
        <w:rPr>
          <w:rFonts w:ascii="宋体" w:hAnsi="宋体"/>
          <w:b/>
          <w:bCs/>
          <w:kern w:val="0"/>
          <w:sz w:val="24"/>
        </w:rPr>
      </w:pPr>
      <w:r>
        <w:rPr>
          <w:rFonts w:hint="eastAsia"/>
          <w:b/>
          <w:bCs/>
          <w:kern w:val="0"/>
          <w:sz w:val="24"/>
        </w:rPr>
        <w:lastRenderedPageBreak/>
        <w:t>2</w:t>
      </w:r>
      <w:r>
        <w:rPr>
          <w:rFonts w:ascii="宋体" w:hAnsi="宋体" w:hint="eastAsia"/>
          <w:b/>
          <w:bCs/>
          <w:kern w:val="0"/>
          <w:sz w:val="24"/>
        </w:rPr>
        <w:t>、技术储备情况</w:t>
      </w:r>
    </w:p>
    <w:p w14:paraId="69582A3C" w14:textId="2D985796" w:rsidR="00D26039" w:rsidRDefault="00B30650">
      <w:pPr>
        <w:tabs>
          <w:tab w:val="left" w:pos="1440"/>
        </w:tabs>
        <w:autoSpaceDE w:val="0"/>
        <w:spacing w:beforeLines="50" w:before="156" w:afterLines="50" w:after="156" w:line="360" w:lineRule="auto"/>
        <w:ind w:firstLineChars="200" w:firstLine="480"/>
        <w:rPr>
          <w:rFonts w:asciiTheme="minorEastAsia" w:eastAsiaTheme="minorEastAsia" w:hAnsiTheme="minorEastAsia"/>
          <w:kern w:val="0"/>
          <w:sz w:val="24"/>
        </w:rPr>
      </w:pPr>
      <w:r>
        <w:rPr>
          <w:rFonts w:ascii="宋体" w:hAnsi="宋体" w:hint="eastAsia"/>
          <w:kern w:val="0"/>
          <w:sz w:val="24"/>
        </w:rPr>
        <w:t>公司秉承创新传统，已形成“科研</w:t>
      </w:r>
      <w:r>
        <w:rPr>
          <w:rFonts w:ascii="宋体" w:hAnsi="宋体"/>
          <w:kern w:val="0"/>
          <w:sz w:val="24"/>
        </w:rPr>
        <w:t>-技术创新-产品创新-新产品产业化生产”一体化</w:t>
      </w:r>
      <w:r>
        <w:rPr>
          <w:rFonts w:ascii="宋体" w:hAnsi="宋体" w:hint="eastAsia"/>
          <w:kern w:val="0"/>
          <w:sz w:val="24"/>
        </w:rPr>
        <w:t>。</w:t>
      </w:r>
      <w:r>
        <w:rPr>
          <w:rFonts w:asciiTheme="minorEastAsia" w:eastAsiaTheme="minorEastAsia" w:hAnsiTheme="minorEastAsia" w:hint="eastAsia"/>
          <w:kern w:val="0"/>
          <w:sz w:val="24"/>
        </w:rPr>
        <w:t>公司已掌握电容器用薄膜、金属化镀膜和薄膜电容器的生产核心技术</w:t>
      </w:r>
      <w:r w:rsidR="00F37F93">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拥有由专家和经验丰富</w:t>
      </w:r>
      <w:r w:rsidR="00F37F93">
        <w:rPr>
          <w:rFonts w:asciiTheme="minorEastAsia" w:eastAsiaTheme="minorEastAsia" w:hAnsiTheme="minorEastAsia" w:hint="eastAsia"/>
          <w:kern w:val="0"/>
          <w:sz w:val="24"/>
        </w:rPr>
        <w:t>的</w:t>
      </w:r>
      <w:r>
        <w:rPr>
          <w:rFonts w:asciiTheme="minorEastAsia" w:eastAsiaTheme="minorEastAsia" w:hAnsiTheme="minorEastAsia" w:hint="eastAsia"/>
          <w:kern w:val="0"/>
          <w:sz w:val="24"/>
        </w:rPr>
        <w:t>技术人员组成的研发队伍，并与国内外多家高校、研究机构建立紧密的合作关系。此外，公司还参与《电容器用双向拉伸聚丙烯薄膜》、《电气绝缘用薄膜试验方法》、《电容器用铝金属化聚丙烯薄膜》、《电容器用铝金属化聚酯薄膜》等行业标准的制定工作，是同行业标准化推行的积极倡导者。</w:t>
      </w:r>
    </w:p>
    <w:p w14:paraId="76591DD4" w14:textId="61F1D9DD" w:rsidR="00D26039" w:rsidRDefault="00B30650">
      <w:pPr>
        <w:spacing w:beforeLines="50" w:before="156" w:afterLines="50" w:after="156" w:line="360" w:lineRule="auto"/>
        <w:ind w:firstLineChars="200" w:firstLine="480"/>
        <w:rPr>
          <w:rFonts w:ascii="宋体" w:hAnsi="宋体"/>
          <w:kern w:val="0"/>
          <w:sz w:val="24"/>
        </w:rPr>
      </w:pPr>
      <w:r>
        <w:rPr>
          <w:rFonts w:ascii="宋体" w:hAnsi="宋体" w:hint="eastAsia"/>
          <w:kern w:val="0"/>
          <w:sz w:val="24"/>
        </w:rPr>
        <w:t>公司已建立</w:t>
      </w:r>
      <w:r>
        <w:rPr>
          <w:rFonts w:ascii="宋体" w:hAnsi="宋体"/>
          <w:kern w:val="0"/>
          <w:sz w:val="24"/>
        </w:rPr>
        <w:t>博士后科研工作站</w:t>
      </w:r>
      <w:r w:rsidR="00D21619">
        <w:rPr>
          <w:rFonts w:ascii="宋体" w:hAnsi="宋体" w:hint="eastAsia"/>
          <w:kern w:val="0"/>
          <w:sz w:val="24"/>
        </w:rPr>
        <w:t>，</w:t>
      </w:r>
      <w:r>
        <w:rPr>
          <w:rFonts w:ascii="宋体" w:hAnsi="宋体"/>
          <w:kern w:val="0"/>
          <w:sz w:val="24"/>
        </w:rPr>
        <w:t>为</w:t>
      </w:r>
      <w:r>
        <w:rPr>
          <w:rFonts w:ascii="宋体" w:hAnsi="宋体" w:hint="eastAsia"/>
          <w:kern w:val="0"/>
          <w:sz w:val="24"/>
        </w:rPr>
        <w:t>公司</w:t>
      </w:r>
      <w:r>
        <w:rPr>
          <w:rFonts w:ascii="宋体" w:hAnsi="宋体"/>
          <w:kern w:val="0"/>
          <w:sz w:val="24"/>
        </w:rPr>
        <w:t>技术创新能力的进一步提升增添技术保障</w:t>
      </w:r>
      <w:r>
        <w:rPr>
          <w:rFonts w:ascii="宋体" w:hAnsi="宋体" w:hint="eastAsia"/>
          <w:kern w:val="0"/>
          <w:sz w:val="24"/>
        </w:rPr>
        <w:t>，</w:t>
      </w:r>
      <w:r>
        <w:rPr>
          <w:rFonts w:ascii="宋体" w:hAnsi="宋体"/>
          <w:kern w:val="0"/>
          <w:sz w:val="24"/>
        </w:rPr>
        <w:t>多项技术创新成果获得国家专利，为公司的产业化转型升级提供了有力的技术支撑。</w:t>
      </w:r>
    </w:p>
    <w:p w14:paraId="78BB2EE1" w14:textId="77777777" w:rsidR="00D26039" w:rsidRDefault="00B30650">
      <w:pPr>
        <w:spacing w:beforeLines="50" w:before="156" w:afterLines="50" w:after="156" w:line="360" w:lineRule="auto"/>
        <w:ind w:firstLineChars="200" w:firstLine="482"/>
        <w:rPr>
          <w:rFonts w:ascii="宋体" w:hAnsi="宋体"/>
          <w:b/>
          <w:bCs/>
          <w:kern w:val="0"/>
          <w:sz w:val="24"/>
        </w:rPr>
      </w:pPr>
      <w:r>
        <w:rPr>
          <w:rFonts w:hint="eastAsia"/>
          <w:b/>
          <w:bCs/>
          <w:kern w:val="0"/>
          <w:sz w:val="24"/>
        </w:rPr>
        <w:t>3</w:t>
      </w:r>
      <w:r>
        <w:rPr>
          <w:rFonts w:ascii="宋体" w:hAnsi="宋体" w:hint="eastAsia"/>
          <w:b/>
          <w:bCs/>
          <w:kern w:val="0"/>
          <w:sz w:val="24"/>
        </w:rPr>
        <w:t>、市场储备情况</w:t>
      </w:r>
      <w:bookmarkStart w:id="109" w:name="_GoBack"/>
      <w:bookmarkEnd w:id="109"/>
    </w:p>
    <w:p w14:paraId="40025EE1" w14:textId="77777777" w:rsidR="00D26039" w:rsidRDefault="00B30650">
      <w:pPr>
        <w:tabs>
          <w:tab w:val="left" w:pos="1440"/>
        </w:tabs>
        <w:autoSpaceDE w:val="0"/>
        <w:spacing w:beforeLines="50" w:before="156" w:afterLines="50" w:after="156" w:line="360" w:lineRule="auto"/>
        <w:ind w:firstLineChars="200" w:firstLine="480"/>
        <w:rPr>
          <w:rFonts w:ascii="宋体" w:hAnsi="宋体"/>
          <w:kern w:val="0"/>
          <w:sz w:val="24"/>
        </w:rPr>
      </w:pPr>
      <w:r w:rsidRPr="00BE4D2A">
        <w:rPr>
          <w:rFonts w:ascii="宋体" w:hAnsi="宋体" w:hint="eastAsia"/>
          <w:kern w:val="0"/>
          <w:sz w:val="24"/>
        </w:rPr>
        <w:t>公司通过多年的发展，在行业内积累了大量优质的客户资源。近年来，公司紧紧抓住以市场为龙头的方针，建立了完善的市场营销网络，在国内主要用户区域设立了服务网点。公司加强专业化服务水平，提升客户满意度，及时为用户提供周到的服务，并及时了解、收集、反馈市场用户信息。这些举措帮助公司获取了一大批有影响力的客户。此外，通过积极拓展海外业务，公司与有关国家建立了贸易关系，在美国、意大利、韩国和印度等国家均有良好的市场基础。</w:t>
      </w:r>
    </w:p>
    <w:p w14:paraId="35FEC25E" w14:textId="77777777" w:rsidR="00D26039" w:rsidRDefault="00B30650">
      <w:pPr>
        <w:pStyle w:val="2"/>
        <w:autoSpaceDE w:val="0"/>
        <w:spacing w:beforeLines="50" w:before="156" w:afterLines="50" w:after="156" w:line="360" w:lineRule="auto"/>
        <w:rPr>
          <w:rFonts w:ascii="Times New Roman" w:hAnsi="Times New Roman"/>
          <w:szCs w:val="28"/>
        </w:rPr>
      </w:pPr>
      <w:bookmarkStart w:id="110" w:name="_Toc512526919"/>
      <w:bookmarkStart w:id="111" w:name="_Toc111905439"/>
      <w:bookmarkStart w:id="112" w:name="_Toc494412601"/>
      <w:r>
        <w:rPr>
          <w:rFonts w:ascii="Times New Roman" w:hAnsi="Times New Roman"/>
          <w:szCs w:val="28"/>
        </w:rPr>
        <w:t>五、公司应对本次非公开发行摊薄即期回报的填补措施</w:t>
      </w:r>
      <w:bookmarkEnd w:id="110"/>
      <w:bookmarkEnd w:id="111"/>
      <w:bookmarkEnd w:id="112"/>
    </w:p>
    <w:p w14:paraId="097367D1" w14:textId="50A3D885" w:rsidR="00D26039" w:rsidRDefault="00B30650">
      <w:pPr>
        <w:autoSpaceDE w:val="0"/>
        <w:adjustRightInd w:val="0"/>
        <w:spacing w:beforeLines="50" w:before="156" w:afterLines="50" w:after="156" w:line="360" w:lineRule="auto"/>
        <w:ind w:firstLineChars="200" w:firstLine="480"/>
        <w:rPr>
          <w:rFonts w:ascii="宋体" w:hAnsi="宋体"/>
          <w:sz w:val="24"/>
        </w:rPr>
      </w:pPr>
      <w:r>
        <w:rPr>
          <w:rFonts w:ascii="宋体" w:hAnsi="宋体" w:hint="eastAsia"/>
          <w:sz w:val="24"/>
        </w:rPr>
        <w:t>为保证</w:t>
      </w:r>
      <w:r w:rsidR="002745D9">
        <w:rPr>
          <w:rFonts w:ascii="宋体" w:hAnsi="宋体" w:hint="eastAsia"/>
          <w:sz w:val="24"/>
        </w:rPr>
        <w:t>本次</w:t>
      </w:r>
      <w:r>
        <w:rPr>
          <w:rFonts w:ascii="宋体" w:hAnsi="宋体" w:hint="eastAsia"/>
          <w:sz w:val="24"/>
        </w:rPr>
        <w:t>募集资金的有效使用，有效防范即期回报被摊薄的风险，提高公司未来的回报能力，公司拟采取的主要措施包括：</w:t>
      </w:r>
    </w:p>
    <w:p w14:paraId="2B628456"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（一）合理统筹资金，积极提升公司盈利能力</w:t>
      </w:r>
    </w:p>
    <w:p w14:paraId="7D7B8EB0"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rFonts w:ascii="宋体" w:hAnsi="宋体" w:hint="eastAsia"/>
          <w:sz w:val="24"/>
        </w:rPr>
        <w:t>本次募集资金到位后，公司流动性将有所提高，资本结构更为合理，财务费用得以下降，公司未来将加快业务的发展与开拓，进一步提高市场占有率及公司整体竞争实力，提升公司的盈利能力。</w:t>
      </w:r>
    </w:p>
    <w:p w14:paraId="081DDFAA"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（二）加快募集资金投资项目的投资进度，加强募集资金管理</w:t>
      </w:r>
    </w:p>
    <w:p w14:paraId="7D1A3B9F" w14:textId="46546756" w:rsidR="00D26039" w:rsidRDefault="00B30650">
      <w:pPr>
        <w:autoSpaceDE w:val="0"/>
        <w:adjustRightInd w:val="0"/>
        <w:spacing w:beforeLines="50" w:before="156" w:afterLines="50" w:after="156" w:line="360" w:lineRule="auto"/>
        <w:ind w:firstLineChars="200" w:firstLine="480"/>
        <w:rPr>
          <w:rFonts w:ascii="宋体" w:hAnsi="宋体"/>
          <w:sz w:val="24"/>
        </w:rPr>
      </w:pPr>
      <w:r>
        <w:rPr>
          <w:rFonts w:ascii="宋体" w:hAnsi="宋体" w:hint="eastAsia"/>
          <w:sz w:val="24"/>
        </w:rPr>
        <w:t>本次发行募集资金到位后，公司将加快推进募集资金投资项目建设，争取募</w:t>
      </w:r>
      <w:r>
        <w:rPr>
          <w:rFonts w:ascii="宋体" w:hAnsi="宋体" w:hint="eastAsia"/>
          <w:sz w:val="24"/>
        </w:rPr>
        <w:lastRenderedPageBreak/>
        <w:t>集资金投资项目早日</w:t>
      </w:r>
      <w:proofErr w:type="gramStart"/>
      <w:r>
        <w:rPr>
          <w:rFonts w:ascii="宋体" w:hAnsi="宋体" w:hint="eastAsia"/>
          <w:sz w:val="24"/>
        </w:rPr>
        <w:t>达产并实现</w:t>
      </w:r>
      <w:proofErr w:type="gramEnd"/>
      <w:r>
        <w:rPr>
          <w:rFonts w:ascii="宋体" w:hAnsi="宋体" w:hint="eastAsia"/>
          <w:sz w:val="24"/>
        </w:rPr>
        <w:t>效益。同时，本次非公开发行</w:t>
      </w:r>
      <w:r>
        <w:rPr>
          <w:rFonts w:hint="eastAsia"/>
          <w:sz w:val="24"/>
        </w:rPr>
        <w:t>A</w:t>
      </w:r>
      <w:r>
        <w:rPr>
          <w:rFonts w:ascii="宋体" w:hAnsi="宋体" w:hint="eastAsia"/>
          <w:sz w:val="24"/>
        </w:rPr>
        <w:t>股股票募集资金到位后，公司将根据相关法规及公司《募集资金管理</w:t>
      </w:r>
      <w:r w:rsidR="002745D9">
        <w:rPr>
          <w:rFonts w:ascii="宋体" w:hAnsi="宋体" w:hint="eastAsia"/>
          <w:sz w:val="24"/>
        </w:rPr>
        <w:t>制度</w:t>
      </w:r>
      <w:r>
        <w:rPr>
          <w:rFonts w:ascii="宋体" w:hAnsi="宋体" w:hint="eastAsia"/>
          <w:sz w:val="24"/>
        </w:rPr>
        <w:t>》的要求，对募集资金进行专项存储，严格管理募集资金的使用，加强对募集资金使用的检查和监督，保证募集资金合理规范使用，尽可能提高资金使用效率，避免资金闲置。</w:t>
      </w:r>
    </w:p>
    <w:p w14:paraId="726E2BCF"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（三）加强经营管理和内部控制，为公司发展提供制度保障</w:t>
      </w:r>
    </w:p>
    <w:p w14:paraId="07939785" w14:textId="77777777" w:rsidR="00D26039" w:rsidRDefault="00B30650">
      <w:pPr>
        <w:autoSpaceDE w:val="0"/>
        <w:adjustRightInd w:val="0"/>
        <w:spacing w:beforeLines="50" w:before="156" w:afterLines="50" w:after="156" w:line="360" w:lineRule="auto"/>
        <w:ind w:firstLineChars="200" w:firstLine="480"/>
        <w:rPr>
          <w:sz w:val="24"/>
        </w:rPr>
      </w:pPr>
      <w:r>
        <w:rPr>
          <w:rFonts w:hint="eastAsia"/>
          <w:sz w:val="24"/>
        </w:rPr>
        <w:t>公司将严格遵循《公司法》、《证券法》、《上海证券交易所股票上市规则》等法律、法规和规范性文件的要求，不断完善公司治理结构，确保股东能够充分行使权利，确保公司董事会能够按照法律法规和《公司章程》的规定行使职权，做出科学、迅速和谨慎的决策，确保公司独立董事能够认真履行职责，维护公司整体利益，尤其是中小股东的合法权益，为公司发展提供制度保障。同时，公司将进一步优化治理结构、加强内部控制，提高经营和管理水平，发挥企业管控效能，提升经营和管理效率、控制经营和管理风险。</w:t>
      </w:r>
    </w:p>
    <w:p w14:paraId="44286B69"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hint="eastAsia"/>
          <w:b/>
          <w:bCs/>
          <w:kern w:val="0"/>
          <w:sz w:val="24"/>
        </w:rPr>
        <w:t>（四）进一步完善利润分配制度，强化投资者回报体制</w:t>
      </w:r>
    </w:p>
    <w:p w14:paraId="5DAD676C" w14:textId="77777777" w:rsidR="00D26039" w:rsidRDefault="00B30650">
      <w:pPr>
        <w:autoSpaceDE w:val="0"/>
        <w:adjustRightInd w:val="0"/>
        <w:spacing w:beforeLines="50" w:before="156" w:afterLines="50" w:after="156" w:line="360" w:lineRule="auto"/>
        <w:ind w:firstLineChars="200" w:firstLine="480"/>
        <w:rPr>
          <w:sz w:val="24"/>
        </w:rPr>
      </w:pPr>
      <w:r>
        <w:rPr>
          <w:rFonts w:hint="eastAsia"/>
          <w:sz w:val="24"/>
        </w:rPr>
        <w:t>公司将持续重视对股东的合理投资回报，同时兼顾公司的可持续发展，制定了持续、稳定、科学的分红政策。上市公司将根据中国证监会《关于进一步落实上市公司现金分红有关事项的通知》、《上市公司监管指引第</w:t>
      </w:r>
      <w:r>
        <w:rPr>
          <w:rFonts w:hint="eastAsia"/>
          <w:sz w:val="24"/>
        </w:rPr>
        <w:t>3</w:t>
      </w:r>
      <w:r>
        <w:rPr>
          <w:rFonts w:hint="eastAsia"/>
          <w:sz w:val="24"/>
        </w:rPr>
        <w:t>号——上市公司现金分红》等规定持续修改和完善《公司章程》并相应制定股东回报规划。公司的利润分配政策重视对投资者尤其是中小投资者的合理投资回报，将充分听取投资者和独立董事的意见，切实维护股东依法享有投资收益的权利，体现上市公司积极回报股东的长期发展理念。</w:t>
      </w:r>
    </w:p>
    <w:p w14:paraId="606570A0" w14:textId="77777777" w:rsidR="00D26039" w:rsidRDefault="00B30650">
      <w:pPr>
        <w:pStyle w:val="2"/>
        <w:autoSpaceDE w:val="0"/>
        <w:spacing w:beforeLines="50" w:before="156" w:afterLines="50" w:after="156" w:line="360" w:lineRule="auto"/>
        <w:rPr>
          <w:rFonts w:ascii="Times New Roman" w:hAnsi="Times New Roman"/>
          <w:szCs w:val="28"/>
        </w:rPr>
      </w:pPr>
      <w:bookmarkStart w:id="113" w:name="_Toc494412602"/>
      <w:bookmarkStart w:id="114" w:name="_Toc512526920"/>
      <w:bookmarkStart w:id="115" w:name="_Toc111905440"/>
      <w:r>
        <w:rPr>
          <w:rFonts w:ascii="Times New Roman" w:hAnsi="Times New Roman"/>
          <w:szCs w:val="28"/>
        </w:rPr>
        <w:t>六、相关主体</w:t>
      </w:r>
      <w:bookmarkStart w:id="116" w:name="_Hlk69465262"/>
      <w:r>
        <w:rPr>
          <w:rFonts w:ascii="Times New Roman" w:hAnsi="Times New Roman"/>
          <w:szCs w:val="28"/>
        </w:rPr>
        <w:t>关于公司</w:t>
      </w:r>
      <w:bookmarkStart w:id="117" w:name="_Hlk69464737"/>
      <w:r>
        <w:rPr>
          <w:rFonts w:ascii="Times New Roman" w:hAnsi="Times New Roman"/>
          <w:szCs w:val="28"/>
        </w:rPr>
        <w:t>本次非公开发行股票填补回报措施能够得到切实履行做出的承诺</w:t>
      </w:r>
      <w:bookmarkEnd w:id="113"/>
      <w:bookmarkEnd w:id="114"/>
      <w:bookmarkEnd w:id="115"/>
      <w:bookmarkEnd w:id="116"/>
      <w:bookmarkEnd w:id="117"/>
    </w:p>
    <w:p w14:paraId="2E9E9486"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（一）</w:t>
      </w:r>
      <w:bookmarkStart w:id="118" w:name="_Hlk69465165"/>
      <w:r>
        <w:rPr>
          <w:rFonts w:eastAsia="黑体"/>
          <w:b/>
          <w:bCs/>
          <w:kern w:val="0"/>
          <w:sz w:val="24"/>
        </w:rPr>
        <w:t>公司全体董事、高级管理人员的承诺</w:t>
      </w:r>
    </w:p>
    <w:p w14:paraId="14B4AFD3"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rFonts w:ascii="宋体" w:hAnsi="宋体"/>
          <w:sz w:val="24"/>
        </w:rPr>
        <w:t>为保障公司填补回报措施能够得到切实履行，公司董事、高级管理人员承诺如下：</w:t>
      </w:r>
    </w:p>
    <w:p w14:paraId="72C9EEA4"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1</w:t>
      </w:r>
      <w:r>
        <w:rPr>
          <w:rFonts w:ascii="宋体" w:hAnsi="宋体"/>
          <w:sz w:val="24"/>
        </w:rPr>
        <w:t>、</w:t>
      </w:r>
      <w:proofErr w:type="gramStart"/>
      <w:r>
        <w:rPr>
          <w:rFonts w:ascii="宋体" w:hAnsi="宋体"/>
          <w:sz w:val="24"/>
        </w:rPr>
        <w:t>不</w:t>
      </w:r>
      <w:proofErr w:type="gramEnd"/>
      <w:r>
        <w:rPr>
          <w:rFonts w:ascii="宋体" w:hAnsi="宋体"/>
          <w:sz w:val="24"/>
        </w:rPr>
        <w:t>无偿或以不公平条件向其他单位或者个人输送利益，也不采用其他方</w:t>
      </w:r>
      <w:r>
        <w:rPr>
          <w:rFonts w:ascii="宋体" w:hAnsi="宋体"/>
          <w:sz w:val="24"/>
        </w:rPr>
        <w:lastRenderedPageBreak/>
        <w:t>式损害公司利益；</w:t>
      </w:r>
    </w:p>
    <w:p w14:paraId="47D5043C"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2</w:t>
      </w:r>
      <w:r>
        <w:rPr>
          <w:rFonts w:ascii="宋体" w:hAnsi="宋体"/>
          <w:sz w:val="24"/>
        </w:rPr>
        <w:t>、对本人的职务消费行为进行约束；</w:t>
      </w:r>
    </w:p>
    <w:p w14:paraId="521058F9"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3</w:t>
      </w:r>
      <w:r>
        <w:rPr>
          <w:rFonts w:ascii="宋体" w:hAnsi="宋体"/>
          <w:sz w:val="24"/>
        </w:rPr>
        <w:t>、不动用公司资产从事与本人履行职责无关的投资、消费活动；</w:t>
      </w:r>
    </w:p>
    <w:p w14:paraId="583226DE"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4</w:t>
      </w:r>
      <w:r>
        <w:rPr>
          <w:rFonts w:ascii="宋体" w:hAnsi="宋体"/>
          <w:sz w:val="24"/>
        </w:rPr>
        <w:t>、由董事会或薪酬委员会制定的薪酬制度与公司填补回报措施的执行情况相挂钩；</w:t>
      </w:r>
    </w:p>
    <w:p w14:paraId="1709E765"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5</w:t>
      </w:r>
      <w:r>
        <w:rPr>
          <w:rFonts w:ascii="宋体" w:hAnsi="宋体"/>
          <w:sz w:val="24"/>
        </w:rPr>
        <w:t>、</w:t>
      </w:r>
      <w:r>
        <w:rPr>
          <w:rFonts w:ascii="宋体" w:hAnsi="宋体" w:hint="eastAsia"/>
          <w:sz w:val="24"/>
        </w:rPr>
        <w:t>未来公司如实施股权激励计划，</w:t>
      </w:r>
      <w:r>
        <w:rPr>
          <w:rFonts w:ascii="宋体" w:hAnsi="宋体"/>
          <w:sz w:val="24"/>
        </w:rPr>
        <w:t>公司股权激励的行权条件与公司填补回报措施的执行情况相挂钩；</w:t>
      </w:r>
    </w:p>
    <w:p w14:paraId="71FED1E0"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6</w:t>
      </w:r>
      <w:r>
        <w:rPr>
          <w:rFonts w:ascii="宋体" w:hAnsi="宋体"/>
          <w:sz w:val="24"/>
        </w:rPr>
        <w:t>、自</w:t>
      </w:r>
      <w:proofErr w:type="gramStart"/>
      <w:r>
        <w:rPr>
          <w:rFonts w:ascii="宋体" w:hAnsi="宋体"/>
          <w:sz w:val="24"/>
        </w:rPr>
        <w:t>本承诺</w:t>
      </w:r>
      <w:proofErr w:type="gramEnd"/>
      <w:r>
        <w:rPr>
          <w:rFonts w:ascii="宋体" w:hAnsi="宋体"/>
          <w:sz w:val="24"/>
        </w:rPr>
        <w:t>出具日至公司本次非公开发行股票实施完毕前，若中国证监会</w:t>
      </w:r>
      <w:proofErr w:type="gramStart"/>
      <w:r>
        <w:rPr>
          <w:rFonts w:ascii="宋体" w:hAnsi="宋体"/>
          <w:sz w:val="24"/>
        </w:rPr>
        <w:t>作出</w:t>
      </w:r>
      <w:proofErr w:type="gramEnd"/>
      <w:r>
        <w:rPr>
          <w:rFonts w:ascii="宋体" w:hAnsi="宋体"/>
          <w:sz w:val="24"/>
        </w:rPr>
        <w:t>关于填补回报措施及其承诺的其他新的监管规定的，且上述承诺不能满足中国证监会该等规定时，届时将按照中国证监会的最新规定出具补充承诺。</w:t>
      </w:r>
    </w:p>
    <w:p w14:paraId="57C66374"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rFonts w:ascii="宋体" w:hAnsi="宋体"/>
          <w:sz w:val="24"/>
        </w:rPr>
        <w:t>作为填补回报措施相关责任主体之一，若违反上述承诺或拒不履行上述承诺，本人同意接受中国证监会和</w:t>
      </w:r>
      <w:r>
        <w:rPr>
          <w:rFonts w:ascii="宋体" w:hAnsi="宋体" w:hint="eastAsia"/>
          <w:sz w:val="24"/>
        </w:rPr>
        <w:t>上海</w:t>
      </w:r>
      <w:r>
        <w:rPr>
          <w:rFonts w:ascii="宋体" w:hAnsi="宋体"/>
          <w:sz w:val="24"/>
        </w:rPr>
        <w:t>证券交易所等证券监管机构按照其制定或发布的有关规定、规则，对本人</w:t>
      </w:r>
      <w:proofErr w:type="gramStart"/>
      <w:r>
        <w:rPr>
          <w:rFonts w:ascii="宋体" w:hAnsi="宋体"/>
          <w:sz w:val="24"/>
        </w:rPr>
        <w:t>作出</w:t>
      </w:r>
      <w:proofErr w:type="gramEnd"/>
      <w:r>
        <w:rPr>
          <w:rFonts w:ascii="宋体" w:hAnsi="宋体"/>
          <w:sz w:val="24"/>
        </w:rPr>
        <w:t>相关处罚或采取相关管理措施。</w:t>
      </w:r>
    </w:p>
    <w:bookmarkEnd w:id="118"/>
    <w:p w14:paraId="70E23453" w14:textId="77777777" w:rsidR="00D26039" w:rsidRDefault="00B30650">
      <w:pPr>
        <w:autoSpaceDE w:val="0"/>
        <w:spacing w:beforeLines="50" w:before="156" w:afterLines="50" w:after="156" w:line="360" w:lineRule="auto"/>
        <w:ind w:firstLineChars="200" w:firstLine="482"/>
        <w:rPr>
          <w:rFonts w:eastAsia="黑体"/>
          <w:b/>
          <w:bCs/>
          <w:kern w:val="0"/>
          <w:sz w:val="24"/>
        </w:rPr>
      </w:pPr>
      <w:r>
        <w:rPr>
          <w:rFonts w:eastAsia="黑体"/>
          <w:b/>
          <w:bCs/>
          <w:kern w:val="0"/>
          <w:sz w:val="24"/>
        </w:rPr>
        <w:t>（二）公司</w:t>
      </w:r>
      <w:r>
        <w:rPr>
          <w:rFonts w:eastAsia="黑体" w:hint="eastAsia"/>
          <w:b/>
          <w:bCs/>
          <w:kern w:val="0"/>
          <w:sz w:val="24"/>
        </w:rPr>
        <w:t>控股股东及实际控制人</w:t>
      </w:r>
      <w:r>
        <w:rPr>
          <w:rFonts w:eastAsia="黑体"/>
          <w:b/>
          <w:bCs/>
          <w:kern w:val="0"/>
          <w:sz w:val="24"/>
        </w:rPr>
        <w:t>的承诺</w:t>
      </w:r>
    </w:p>
    <w:p w14:paraId="30FE5687"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bookmarkStart w:id="119" w:name="_Hlk69464766"/>
      <w:r>
        <w:rPr>
          <w:rFonts w:ascii="宋体" w:hAnsi="宋体" w:hint="eastAsia"/>
          <w:sz w:val="24"/>
        </w:rPr>
        <w:t>为使公司填补回报措施能够得到切实履行，公司控股股东及实际控制人承诺如下：</w:t>
      </w:r>
    </w:p>
    <w:p w14:paraId="284A54FB"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1</w:t>
      </w:r>
      <w:r>
        <w:rPr>
          <w:rFonts w:ascii="宋体" w:hAnsi="宋体"/>
          <w:sz w:val="24"/>
        </w:rPr>
        <w:t>、依照相关法律、法规及公司章程的有关规定行使股东权利，不越权干预公司经营管理活动，不侵占公司利益</w:t>
      </w:r>
      <w:r>
        <w:rPr>
          <w:rFonts w:ascii="宋体" w:hAnsi="宋体" w:hint="eastAsia"/>
          <w:sz w:val="24"/>
        </w:rPr>
        <w:t>；</w:t>
      </w:r>
    </w:p>
    <w:p w14:paraId="46AAF627" w14:textId="77777777" w:rsidR="00D26039" w:rsidRDefault="00B30650">
      <w:pPr>
        <w:autoSpaceDE w:val="0"/>
        <w:adjustRightInd w:val="0"/>
        <w:spacing w:beforeLines="50" w:before="156" w:afterLines="50" w:after="156" w:line="360" w:lineRule="auto"/>
        <w:ind w:firstLineChars="200" w:firstLine="480"/>
        <w:rPr>
          <w:rFonts w:ascii="宋体" w:hAnsi="宋体"/>
          <w:sz w:val="24"/>
        </w:rPr>
      </w:pPr>
      <w:r>
        <w:rPr>
          <w:sz w:val="24"/>
        </w:rPr>
        <w:t>2</w:t>
      </w:r>
      <w:r>
        <w:rPr>
          <w:rFonts w:ascii="宋体" w:hAnsi="宋体"/>
          <w:sz w:val="24"/>
        </w:rPr>
        <w:t>、自</w:t>
      </w:r>
      <w:proofErr w:type="gramStart"/>
      <w:r>
        <w:rPr>
          <w:rFonts w:ascii="宋体" w:hAnsi="宋体"/>
          <w:sz w:val="24"/>
        </w:rPr>
        <w:t>本承诺</w:t>
      </w:r>
      <w:proofErr w:type="gramEnd"/>
      <w:r>
        <w:rPr>
          <w:rFonts w:ascii="宋体" w:hAnsi="宋体"/>
          <w:sz w:val="24"/>
        </w:rPr>
        <w:t>出具日至公司本次非公开发行股票实施完毕前，若中国证监会</w:t>
      </w:r>
      <w:proofErr w:type="gramStart"/>
      <w:r>
        <w:rPr>
          <w:rFonts w:ascii="宋体" w:hAnsi="宋体"/>
          <w:sz w:val="24"/>
        </w:rPr>
        <w:t>作出</w:t>
      </w:r>
      <w:proofErr w:type="gramEnd"/>
      <w:r>
        <w:rPr>
          <w:rFonts w:ascii="宋体" w:hAnsi="宋体"/>
          <w:sz w:val="24"/>
        </w:rPr>
        <w:t>关于填补回报措施及其承诺的其他新的监管规定的，且上述承诺不能满足中国证监会该等规定时，届时将按照中国证监会的最新规定出具补充承诺</w:t>
      </w:r>
      <w:r>
        <w:rPr>
          <w:rFonts w:ascii="宋体" w:hAnsi="宋体" w:hint="eastAsia"/>
          <w:sz w:val="24"/>
        </w:rPr>
        <w:t>；</w:t>
      </w:r>
    </w:p>
    <w:p w14:paraId="75002FB0" w14:textId="692B4E19" w:rsidR="00D26039" w:rsidRDefault="00B30650" w:rsidP="00BE4D2A">
      <w:pPr>
        <w:autoSpaceDE w:val="0"/>
        <w:adjustRightInd w:val="0"/>
        <w:spacing w:beforeLines="50" w:before="156" w:afterLines="50" w:after="156" w:line="360" w:lineRule="auto"/>
        <w:ind w:firstLineChars="200" w:firstLine="480"/>
        <w:rPr>
          <w:rFonts w:ascii="宋体" w:hAnsi="宋体"/>
          <w:sz w:val="24"/>
        </w:rPr>
      </w:pPr>
      <w:r>
        <w:rPr>
          <w:sz w:val="24"/>
        </w:rPr>
        <w:t>3</w:t>
      </w:r>
      <w:r>
        <w:rPr>
          <w:rFonts w:ascii="宋体" w:hAnsi="宋体"/>
          <w:sz w:val="24"/>
        </w:rPr>
        <w:t>、作为填补回报措施相关责任主体之一</w:t>
      </w:r>
      <w:r>
        <w:rPr>
          <w:rFonts w:ascii="宋体" w:hAnsi="宋体" w:hint="eastAsia"/>
          <w:sz w:val="24"/>
        </w:rPr>
        <w:t>，承诺人将</w:t>
      </w:r>
      <w:r>
        <w:rPr>
          <w:rFonts w:ascii="宋体" w:hAnsi="宋体"/>
          <w:sz w:val="24"/>
        </w:rPr>
        <w:t>切实履行公司制定的有关填补回报的相关措施以及承诺人对此</w:t>
      </w:r>
      <w:proofErr w:type="gramStart"/>
      <w:r>
        <w:rPr>
          <w:rFonts w:ascii="宋体" w:hAnsi="宋体"/>
          <w:sz w:val="24"/>
        </w:rPr>
        <w:t>作出</w:t>
      </w:r>
      <w:proofErr w:type="gramEnd"/>
      <w:r>
        <w:rPr>
          <w:rFonts w:ascii="宋体" w:hAnsi="宋体"/>
          <w:sz w:val="24"/>
        </w:rPr>
        <w:t>的任何有关填补回报措施的承诺，若</w:t>
      </w:r>
      <w:r>
        <w:rPr>
          <w:rFonts w:ascii="宋体" w:hAnsi="宋体" w:hint="eastAsia"/>
          <w:sz w:val="24"/>
        </w:rPr>
        <w:t>违</w:t>
      </w:r>
      <w:r>
        <w:rPr>
          <w:rFonts w:ascii="宋体" w:hAnsi="宋体"/>
          <w:sz w:val="24"/>
        </w:rPr>
        <w:t>反该等承诺并给公司或者投资者造成损失的，</w:t>
      </w:r>
      <w:r>
        <w:rPr>
          <w:rFonts w:ascii="宋体" w:hAnsi="宋体" w:hint="eastAsia"/>
          <w:sz w:val="24"/>
        </w:rPr>
        <w:t>承诺人</w:t>
      </w:r>
      <w:r>
        <w:rPr>
          <w:rFonts w:ascii="宋体" w:hAnsi="宋体"/>
          <w:sz w:val="24"/>
        </w:rPr>
        <w:t>愿意依法承担对公司或者投资者的补偿责任</w:t>
      </w:r>
      <w:bookmarkEnd w:id="119"/>
      <w:r>
        <w:rPr>
          <w:rFonts w:ascii="宋体" w:hAnsi="宋体" w:hint="eastAsia"/>
          <w:sz w:val="24"/>
        </w:rPr>
        <w:t>。</w:t>
      </w:r>
    </w:p>
    <w:p w14:paraId="3D5FF644" w14:textId="45B95602" w:rsidR="00191A8E" w:rsidRDefault="00191A8E" w:rsidP="00BE4D2A">
      <w:pPr>
        <w:autoSpaceDE w:val="0"/>
        <w:adjustRightInd w:val="0"/>
        <w:spacing w:beforeLines="50" w:before="156" w:afterLines="50" w:after="156" w:line="360" w:lineRule="auto"/>
        <w:ind w:firstLineChars="200" w:firstLine="480"/>
        <w:rPr>
          <w:rFonts w:ascii="宋体" w:hAnsi="宋体"/>
          <w:sz w:val="24"/>
        </w:rPr>
      </w:pPr>
    </w:p>
    <w:p w14:paraId="05F340E2" w14:textId="77777777" w:rsidR="00191A8E" w:rsidRPr="007A7643" w:rsidRDefault="00191A8E" w:rsidP="00191A8E">
      <w:pPr>
        <w:autoSpaceDE w:val="0"/>
        <w:adjustRightInd w:val="0"/>
        <w:spacing w:line="360" w:lineRule="auto"/>
        <w:jc w:val="right"/>
        <w:rPr>
          <w:rFonts w:ascii="宋体" w:hAnsi="宋体"/>
          <w:kern w:val="0"/>
          <w:sz w:val="24"/>
        </w:rPr>
      </w:pPr>
      <w:r w:rsidRPr="00386D8B">
        <w:rPr>
          <w:rFonts w:hint="eastAsia"/>
          <w:kern w:val="0"/>
          <w:sz w:val="24"/>
        </w:rPr>
        <w:t>安徽铜峰电</w:t>
      </w:r>
      <w:r w:rsidRPr="00386D8B">
        <w:rPr>
          <w:rFonts w:ascii="宋体" w:hAnsi="宋体" w:hint="eastAsia"/>
          <w:kern w:val="0"/>
          <w:sz w:val="24"/>
        </w:rPr>
        <w:t>子股份有限公司</w:t>
      </w:r>
      <w:r w:rsidRPr="007A7643">
        <w:rPr>
          <w:rFonts w:ascii="宋体" w:hAnsi="宋体"/>
          <w:kern w:val="0"/>
          <w:sz w:val="24"/>
        </w:rPr>
        <w:t>董事会</w:t>
      </w:r>
    </w:p>
    <w:p w14:paraId="600CDDB7" w14:textId="6688DAC6" w:rsidR="00191A8E" w:rsidRDefault="00191A8E" w:rsidP="00191A8E">
      <w:pPr>
        <w:autoSpaceDE w:val="0"/>
        <w:adjustRightInd w:val="0"/>
        <w:spacing w:line="360" w:lineRule="auto"/>
        <w:jc w:val="right"/>
      </w:pPr>
      <w:r w:rsidRPr="007A7643">
        <w:rPr>
          <w:rFonts w:ascii="宋体" w:hAnsi="宋体" w:hint="eastAsia"/>
          <w:kern w:val="0"/>
          <w:sz w:val="24"/>
        </w:rPr>
        <w:t>202</w:t>
      </w:r>
      <w:r>
        <w:rPr>
          <w:rFonts w:ascii="宋体" w:hAnsi="宋体"/>
          <w:kern w:val="0"/>
          <w:sz w:val="24"/>
        </w:rPr>
        <w:t>2</w:t>
      </w:r>
      <w:r w:rsidRPr="007A7643">
        <w:rPr>
          <w:rFonts w:ascii="宋体" w:hAnsi="宋体"/>
          <w:kern w:val="0"/>
          <w:sz w:val="24"/>
        </w:rPr>
        <w:t>年</w:t>
      </w:r>
      <w:r w:rsidR="000224DF">
        <w:rPr>
          <w:rFonts w:ascii="宋体" w:hAnsi="宋体"/>
          <w:sz w:val="24"/>
        </w:rPr>
        <w:t>8</w:t>
      </w:r>
      <w:r w:rsidRPr="007A7643">
        <w:rPr>
          <w:rFonts w:ascii="宋体" w:hAnsi="宋体"/>
          <w:sz w:val="24"/>
        </w:rPr>
        <w:t>月</w:t>
      </w:r>
      <w:r w:rsidR="000224DF">
        <w:rPr>
          <w:rFonts w:ascii="宋体" w:hAnsi="宋体"/>
          <w:sz w:val="24"/>
        </w:rPr>
        <w:t>30</w:t>
      </w:r>
      <w:r w:rsidRPr="007A7643">
        <w:rPr>
          <w:rFonts w:ascii="宋体" w:hAnsi="宋体"/>
          <w:sz w:val="24"/>
        </w:rPr>
        <w:t>日</w:t>
      </w:r>
    </w:p>
    <w:p w14:paraId="72255DF8" w14:textId="77777777" w:rsidR="00191A8E" w:rsidRDefault="00191A8E" w:rsidP="00BE4D2A">
      <w:pPr>
        <w:autoSpaceDE w:val="0"/>
        <w:adjustRightInd w:val="0"/>
        <w:spacing w:beforeLines="50" w:before="156" w:afterLines="50" w:after="156" w:line="360" w:lineRule="auto"/>
        <w:ind w:firstLineChars="200" w:firstLine="420"/>
      </w:pPr>
    </w:p>
    <w:sectPr w:rsidR="00191A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BF1DC" w14:textId="77777777" w:rsidR="00BF65DE" w:rsidRDefault="00BF65DE">
      <w:r>
        <w:separator/>
      </w:r>
    </w:p>
  </w:endnote>
  <w:endnote w:type="continuationSeparator" w:id="0">
    <w:p w14:paraId="00246A66" w14:textId="77777777" w:rsidR="00BF65DE" w:rsidRDefault="00BF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瀹嬩綋">
    <w:altName w:val="微软雅黑"/>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715EC" w14:textId="77777777" w:rsidR="005D006A" w:rsidRDefault="005D006A">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D20D4E7" w14:textId="77777777" w:rsidR="005D006A" w:rsidRDefault="005D006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7581C" w14:textId="48AFBBBF" w:rsidR="005D006A" w:rsidRDefault="005D006A">
    <w:pPr>
      <w:pStyle w:val="a8"/>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sidR="00A95195" w:rsidRPr="00A95195">
      <w:rPr>
        <w:rFonts w:ascii="宋体" w:hAnsi="宋体"/>
        <w:noProof/>
        <w:lang w:val="zh-CN"/>
      </w:rPr>
      <w:t>23</w:t>
    </w:r>
    <w:r>
      <w:rPr>
        <w:rFonts w:ascii="宋体" w:hAnsi="宋体"/>
      </w:rPr>
      <w:fldChar w:fldCharType="end"/>
    </w:r>
  </w:p>
  <w:p w14:paraId="5EDBF639" w14:textId="77777777" w:rsidR="005D006A" w:rsidRDefault="005D00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664C" w14:textId="77777777" w:rsidR="005D006A" w:rsidRDefault="005D006A">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4122323" w14:textId="77777777" w:rsidR="005D006A" w:rsidRDefault="005D006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031C1" w14:textId="5B9A0AF6" w:rsidR="005D006A" w:rsidRDefault="005D006A">
    <w:pPr>
      <w:pStyle w:val="a8"/>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sidR="00A95195" w:rsidRPr="00A95195">
      <w:rPr>
        <w:rFonts w:ascii="宋体" w:hAnsi="宋体"/>
        <w:noProof/>
        <w:lang w:val="zh-CN"/>
      </w:rPr>
      <w:t>46</w:t>
    </w:r>
    <w:r>
      <w:rPr>
        <w:rFonts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EE5F9" w14:textId="77777777" w:rsidR="00BF65DE" w:rsidRDefault="00BF65DE">
      <w:r>
        <w:separator/>
      </w:r>
    </w:p>
  </w:footnote>
  <w:footnote w:type="continuationSeparator" w:id="0">
    <w:p w14:paraId="66B0A5B4" w14:textId="77777777" w:rsidR="00BF65DE" w:rsidRDefault="00BF6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078B1" w14:textId="4A499056" w:rsidR="005D006A" w:rsidRDefault="005D006A">
    <w:pPr>
      <w:pStyle w:val="a9"/>
      <w:ind w:right="360"/>
      <w:jc w:val="right"/>
      <w:rPr>
        <w:rFonts w:ascii="宋体" w:hAnsi="宋体"/>
      </w:rPr>
    </w:pPr>
    <w:r>
      <w:rPr>
        <w:rFonts w:ascii="宋体" w:hAnsi="宋体" w:hint="eastAsia"/>
        <w:lang w:val="zh-CN"/>
      </w:rPr>
      <w:t xml:space="preserve">安徽铜峰电子股份有限公司 </w:t>
    </w:r>
    <w:r>
      <w:rPr>
        <w:rFonts w:ascii="宋体" w:hAnsi="宋体"/>
        <w:lang w:val="zh-CN"/>
      </w:rPr>
      <w:t xml:space="preserve">       </w:t>
    </w:r>
    <w:r>
      <w:rPr>
        <w:rFonts w:ascii="宋体" w:hAnsi="宋体" w:hint="eastAsia"/>
        <w:lang w:val="zh-CN"/>
      </w:rPr>
      <w:t xml:space="preserve"> </w:t>
    </w:r>
    <w:r>
      <w:rPr>
        <w:rFonts w:ascii="宋体" w:hAnsi="宋体"/>
        <w:lang w:val="zh-CN"/>
      </w:rPr>
      <w:t xml:space="preserve">                         </w:t>
    </w:r>
    <w:r>
      <w:rPr>
        <w:rFonts w:ascii="宋体" w:hAnsi="宋体" w:hint="eastAsia"/>
        <w:lang w:val="zh-CN"/>
      </w:rPr>
      <w:t>202</w:t>
    </w:r>
    <w:r>
      <w:rPr>
        <w:rFonts w:ascii="宋体" w:hAnsi="宋体"/>
        <w:lang w:val="zh-CN"/>
      </w:rPr>
      <w:t>2</w:t>
    </w:r>
    <w:r>
      <w:rPr>
        <w:rFonts w:ascii="宋体" w:hAnsi="宋体" w:hint="eastAsia"/>
        <w:lang w:val="zh-CN"/>
      </w:rPr>
      <w:t>年度非公开发行A股股票预案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68143" w14:textId="4CCF0D11" w:rsidR="005D006A" w:rsidRDefault="005D006A">
    <w:pPr>
      <w:pStyle w:val="a9"/>
      <w:ind w:right="360"/>
      <w:jc w:val="right"/>
      <w:rPr>
        <w:rFonts w:ascii="宋体" w:hAnsi="宋体"/>
      </w:rPr>
    </w:pPr>
    <w:r>
      <w:rPr>
        <w:rFonts w:ascii="宋体" w:hAnsi="宋体" w:hint="eastAsia"/>
        <w:lang w:val="zh-CN"/>
      </w:rPr>
      <w:t xml:space="preserve">安徽铜峰电子股份有限公司 </w:t>
    </w:r>
    <w:r>
      <w:rPr>
        <w:rFonts w:ascii="宋体" w:hAnsi="宋体"/>
        <w:lang w:val="zh-CN"/>
      </w:rPr>
      <w:t xml:space="preserve">       </w:t>
    </w:r>
    <w:r>
      <w:rPr>
        <w:rFonts w:ascii="宋体" w:hAnsi="宋体" w:hint="eastAsia"/>
        <w:lang w:val="zh-CN"/>
      </w:rPr>
      <w:t xml:space="preserve"> </w:t>
    </w:r>
    <w:r>
      <w:rPr>
        <w:rFonts w:ascii="宋体" w:hAnsi="宋体"/>
        <w:lang w:val="zh-CN"/>
      </w:rPr>
      <w:t xml:space="preserve">                         </w:t>
    </w:r>
    <w:r>
      <w:rPr>
        <w:rFonts w:ascii="宋体" w:hAnsi="宋体" w:hint="eastAsia"/>
        <w:lang w:val="zh-CN"/>
      </w:rPr>
      <w:t>202</w:t>
    </w:r>
    <w:r>
      <w:rPr>
        <w:rFonts w:ascii="宋体" w:hAnsi="宋体"/>
        <w:lang w:val="zh-CN"/>
      </w:rPr>
      <w:t>2</w:t>
    </w:r>
    <w:r>
      <w:rPr>
        <w:rFonts w:ascii="宋体" w:hAnsi="宋体" w:hint="eastAsia"/>
        <w:lang w:val="zh-CN"/>
      </w:rPr>
      <w:t>年度非公开发行A股股票预案</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CB">
    <w15:presenceInfo w15:providerId="None" w15:userId="Y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2I5ZGYwYThkY2UzYTIzOWM5Y2VhMmJiYTUxMmYifQ=="/>
  </w:docVars>
  <w:rsids>
    <w:rsidRoot w:val="0080112C"/>
    <w:rsid w:val="0000120A"/>
    <w:rsid w:val="0000144F"/>
    <w:rsid w:val="00002C16"/>
    <w:rsid w:val="0000560E"/>
    <w:rsid w:val="00005724"/>
    <w:rsid w:val="00005A8A"/>
    <w:rsid w:val="00005D91"/>
    <w:rsid w:val="000062E9"/>
    <w:rsid w:val="00006603"/>
    <w:rsid w:val="0000760B"/>
    <w:rsid w:val="000100BD"/>
    <w:rsid w:val="00011CA0"/>
    <w:rsid w:val="000125C3"/>
    <w:rsid w:val="00014629"/>
    <w:rsid w:val="000146C3"/>
    <w:rsid w:val="00015392"/>
    <w:rsid w:val="0001792C"/>
    <w:rsid w:val="00017F64"/>
    <w:rsid w:val="00020CC9"/>
    <w:rsid w:val="0002247A"/>
    <w:rsid w:val="000224DF"/>
    <w:rsid w:val="00022B91"/>
    <w:rsid w:val="0002541F"/>
    <w:rsid w:val="00025978"/>
    <w:rsid w:val="0002653A"/>
    <w:rsid w:val="000275F5"/>
    <w:rsid w:val="00027BE8"/>
    <w:rsid w:val="00027D8F"/>
    <w:rsid w:val="00030C8C"/>
    <w:rsid w:val="00031023"/>
    <w:rsid w:val="000335CC"/>
    <w:rsid w:val="000338DC"/>
    <w:rsid w:val="00034B7A"/>
    <w:rsid w:val="00037B37"/>
    <w:rsid w:val="00040466"/>
    <w:rsid w:val="00040BA1"/>
    <w:rsid w:val="00040E36"/>
    <w:rsid w:val="0004146B"/>
    <w:rsid w:val="00041DB3"/>
    <w:rsid w:val="00044CA0"/>
    <w:rsid w:val="00044D65"/>
    <w:rsid w:val="00052C5F"/>
    <w:rsid w:val="00053133"/>
    <w:rsid w:val="000535BB"/>
    <w:rsid w:val="00053F79"/>
    <w:rsid w:val="000553CE"/>
    <w:rsid w:val="00056102"/>
    <w:rsid w:val="00057121"/>
    <w:rsid w:val="00057429"/>
    <w:rsid w:val="00057606"/>
    <w:rsid w:val="000579E3"/>
    <w:rsid w:val="000608B8"/>
    <w:rsid w:val="00062204"/>
    <w:rsid w:val="0006339F"/>
    <w:rsid w:val="000655C5"/>
    <w:rsid w:val="0006568A"/>
    <w:rsid w:val="00066125"/>
    <w:rsid w:val="0007092B"/>
    <w:rsid w:val="00070BDC"/>
    <w:rsid w:val="00072409"/>
    <w:rsid w:val="00072913"/>
    <w:rsid w:val="000730B9"/>
    <w:rsid w:val="00074C0D"/>
    <w:rsid w:val="00074FC0"/>
    <w:rsid w:val="00075806"/>
    <w:rsid w:val="0007720F"/>
    <w:rsid w:val="0007742F"/>
    <w:rsid w:val="0007762B"/>
    <w:rsid w:val="00077BB8"/>
    <w:rsid w:val="00077C1F"/>
    <w:rsid w:val="000804BF"/>
    <w:rsid w:val="00082638"/>
    <w:rsid w:val="00082CB8"/>
    <w:rsid w:val="00083CD0"/>
    <w:rsid w:val="000840C0"/>
    <w:rsid w:val="00084576"/>
    <w:rsid w:val="00084CA3"/>
    <w:rsid w:val="0009008F"/>
    <w:rsid w:val="00092B35"/>
    <w:rsid w:val="00092C51"/>
    <w:rsid w:val="00094B6D"/>
    <w:rsid w:val="000A0660"/>
    <w:rsid w:val="000A0AD4"/>
    <w:rsid w:val="000A1F40"/>
    <w:rsid w:val="000A2BD0"/>
    <w:rsid w:val="000A2DFE"/>
    <w:rsid w:val="000A38C6"/>
    <w:rsid w:val="000A41A1"/>
    <w:rsid w:val="000A476E"/>
    <w:rsid w:val="000A4BF8"/>
    <w:rsid w:val="000A55C7"/>
    <w:rsid w:val="000A5657"/>
    <w:rsid w:val="000A70C9"/>
    <w:rsid w:val="000B02F8"/>
    <w:rsid w:val="000B0509"/>
    <w:rsid w:val="000B1B0D"/>
    <w:rsid w:val="000B5E05"/>
    <w:rsid w:val="000B7296"/>
    <w:rsid w:val="000B7414"/>
    <w:rsid w:val="000C0CB2"/>
    <w:rsid w:val="000C0E30"/>
    <w:rsid w:val="000C11DB"/>
    <w:rsid w:val="000C1F49"/>
    <w:rsid w:val="000C23B2"/>
    <w:rsid w:val="000C2C59"/>
    <w:rsid w:val="000C31F0"/>
    <w:rsid w:val="000C3EE6"/>
    <w:rsid w:val="000C4CDC"/>
    <w:rsid w:val="000C5FAC"/>
    <w:rsid w:val="000C70BE"/>
    <w:rsid w:val="000C7267"/>
    <w:rsid w:val="000D0DF7"/>
    <w:rsid w:val="000D3735"/>
    <w:rsid w:val="000D3C04"/>
    <w:rsid w:val="000D5028"/>
    <w:rsid w:val="000D5865"/>
    <w:rsid w:val="000D5E56"/>
    <w:rsid w:val="000D7323"/>
    <w:rsid w:val="000D77EB"/>
    <w:rsid w:val="000E1B41"/>
    <w:rsid w:val="000E327A"/>
    <w:rsid w:val="000E4715"/>
    <w:rsid w:val="000E591D"/>
    <w:rsid w:val="000E661E"/>
    <w:rsid w:val="000F0081"/>
    <w:rsid w:val="000F009A"/>
    <w:rsid w:val="000F03CE"/>
    <w:rsid w:val="000F0A2D"/>
    <w:rsid w:val="000F0E54"/>
    <w:rsid w:val="000F178A"/>
    <w:rsid w:val="000F1DF0"/>
    <w:rsid w:val="000F3C93"/>
    <w:rsid w:val="000F4533"/>
    <w:rsid w:val="000F64E0"/>
    <w:rsid w:val="000F7BB8"/>
    <w:rsid w:val="00101233"/>
    <w:rsid w:val="00101A05"/>
    <w:rsid w:val="00101F6E"/>
    <w:rsid w:val="00103C0F"/>
    <w:rsid w:val="001041E0"/>
    <w:rsid w:val="00105C13"/>
    <w:rsid w:val="00105F67"/>
    <w:rsid w:val="00110966"/>
    <w:rsid w:val="00111676"/>
    <w:rsid w:val="00112A21"/>
    <w:rsid w:val="00112FCF"/>
    <w:rsid w:val="00113AA8"/>
    <w:rsid w:val="00113C5E"/>
    <w:rsid w:val="00115378"/>
    <w:rsid w:val="00115974"/>
    <w:rsid w:val="00120205"/>
    <w:rsid w:val="0012179F"/>
    <w:rsid w:val="001237F2"/>
    <w:rsid w:val="001239D2"/>
    <w:rsid w:val="00124860"/>
    <w:rsid w:val="00125726"/>
    <w:rsid w:val="00125B28"/>
    <w:rsid w:val="00127BA0"/>
    <w:rsid w:val="0013052B"/>
    <w:rsid w:val="00130B6F"/>
    <w:rsid w:val="00130C5C"/>
    <w:rsid w:val="001320DE"/>
    <w:rsid w:val="00132253"/>
    <w:rsid w:val="001346FD"/>
    <w:rsid w:val="00134B92"/>
    <w:rsid w:val="00135EB8"/>
    <w:rsid w:val="00140C6D"/>
    <w:rsid w:val="0014250C"/>
    <w:rsid w:val="00142991"/>
    <w:rsid w:val="00142CD6"/>
    <w:rsid w:val="001439CF"/>
    <w:rsid w:val="001455B1"/>
    <w:rsid w:val="00145724"/>
    <w:rsid w:val="001468BD"/>
    <w:rsid w:val="0014753B"/>
    <w:rsid w:val="00147D8C"/>
    <w:rsid w:val="0015028E"/>
    <w:rsid w:val="00150DE4"/>
    <w:rsid w:val="0015199A"/>
    <w:rsid w:val="00151F3C"/>
    <w:rsid w:val="001543CD"/>
    <w:rsid w:val="0015516C"/>
    <w:rsid w:val="001564D1"/>
    <w:rsid w:val="00156E2B"/>
    <w:rsid w:val="00157664"/>
    <w:rsid w:val="0015786F"/>
    <w:rsid w:val="00157BCF"/>
    <w:rsid w:val="001608BF"/>
    <w:rsid w:val="00160947"/>
    <w:rsid w:val="00160FC3"/>
    <w:rsid w:val="00163884"/>
    <w:rsid w:val="00163CD1"/>
    <w:rsid w:val="00164649"/>
    <w:rsid w:val="00164CF2"/>
    <w:rsid w:val="00166092"/>
    <w:rsid w:val="00167428"/>
    <w:rsid w:val="0017013D"/>
    <w:rsid w:val="00170233"/>
    <w:rsid w:val="0017099C"/>
    <w:rsid w:val="00171B42"/>
    <w:rsid w:val="00171DFE"/>
    <w:rsid w:val="00172943"/>
    <w:rsid w:val="00172957"/>
    <w:rsid w:val="001729A0"/>
    <w:rsid w:val="00172AB0"/>
    <w:rsid w:val="00172FD2"/>
    <w:rsid w:val="0017310C"/>
    <w:rsid w:val="0017321B"/>
    <w:rsid w:val="00173889"/>
    <w:rsid w:val="00173935"/>
    <w:rsid w:val="00173C36"/>
    <w:rsid w:val="00173D10"/>
    <w:rsid w:val="001751E1"/>
    <w:rsid w:val="0017584B"/>
    <w:rsid w:val="001770E5"/>
    <w:rsid w:val="00177463"/>
    <w:rsid w:val="00180705"/>
    <w:rsid w:val="001811E5"/>
    <w:rsid w:val="0018137D"/>
    <w:rsid w:val="0018163F"/>
    <w:rsid w:val="001844C3"/>
    <w:rsid w:val="00186258"/>
    <w:rsid w:val="0018703F"/>
    <w:rsid w:val="0019048A"/>
    <w:rsid w:val="001905C0"/>
    <w:rsid w:val="0019103A"/>
    <w:rsid w:val="00191A8E"/>
    <w:rsid w:val="00191E92"/>
    <w:rsid w:val="00192786"/>
    <w:rsid w:val="001928B5"/>
    <w:rsid w:val="0019324F"/>
    <w:rsid w:val="00193A8C"/>
    <w:rsid w:val="0019428D"/>
    <w:rsid w:val="00195DFE"/>
    <w:rsid w:val="00195F10"/>
    <w:rsid w:val="00197831"/>
    <w:rsid w:val="001A11D5"/>
    <w:rsid w:val="001A1CC0"/>
    <w:rsid w:val="001A3E4F"/>
    <w:rsid w:val="001A4F25"/>
    <w:rsid w:val="001A60B4"/>
    <w:rsid w:val="001A66A1"/>
    <w:rsid w:val="001A69D8"/>
    <w:rsid w:val="001A723F"/>
    <w:rsid w:val="001B005E"/>
    <w:rsid w:val="001B2105"/>
    <w:rsid w:val="001B2D36"/>
    <w:rsid w:val="001B398B"/>
    <w:rsid w:val="001B3A63"/>
    <w:rsid w:val="001B4000"/>
    <w:rsid w:val="001B5545"/>
    <w:rsid w:val="001B5AF4"/>
    <w:rsid w:val="001B5D20"/>
    <w:rsid w:val="001B6519"/>
    <w:rsid w:val="001B78D9"/>
    <w:rsid w:val="001B79EF"/>
    <w:rsid w:val="001C0140"/>
    <w:rsid w:val="001C09D5"/>
    <w:rsid w:val="001C21B9"/>
    <w:rsid w:val="001C23F1"/>
    <w:rsid w:val="001C2BD1"/>
    <w:rsid w:val="001C2C52"/>
    <w:rsid w:val="001C3E39"/>
    <w:rsid w:val="001C4C5F"/>
    <w:rsid w:val="001C5B2B"/>
    <w:rsid w:val="001C756E"/>
    <w:rsid w:val="001C7B8D"/>
    <w:rsid w:val="001D0610"/>
    <w:rsid w:val="001D1071"/>
    <w:rsid w:val="001D14E1"/>
    <w:rsid w:val="001D2BDB"/>
    <w:rsid w:val="001D3EE2"/>
    <w:rsid w:val="001D6061"/>
    <w:rsid w:val="001D6543"/>
    <w:rsid w:val="001D65B8"/>
    <w:rsid w:val="001D7A66"/>
    <w:rsid w:val="001E03B2"/>
    <w:rsid w:val="001E1D39"/>
    <w:rsid w:val="001E24A9"/>
    <w:rsid w:val="001E4564"/>
    <w:rsid w:val="001E4BF2"/>
    <w:rsid w:val="001E63B3"/>
    <w:rsid w:val="001E683A"/>
    <w:rsid w:val="001E68A1"/>
    <w:rsid w:val="001E7E3D"/>
    <w:rsid w:val="001F09A9"/>
    <w:rsid w:val="001F0AE8"/>
    <w:rsid w:val="001F1BD7"/>
    <w:rsid w:val="001F1F04"/>
    <w:rsid w:val="001F2582"/>
    <w:rsid w:val="001F3B98"/>
    <w:rsid w:val="001F53B1"/>
    <w:rsid w:val="001F585D"/>
    <w:rsid w:val="001F683E"/>
    <w:rsid w:val="001F6F43"/>
    <w:rsid w:val="001F746D"/>
    <w:rsid w:val="001F7A64"/>
    <w:rsid w:val="002009D9"/>
    <w:rsid w:val="00200C6E"/>
    <w:rsid w:val="002011B6"/>
    <w:rsid w:val="00201E06"/>
    <w:rsid w:val="00202143"/>
    <w:rsid w:val="00202FF2"/>
    <w:rsid w:val="00203662"/>
    <w:rsid w:val="00203DB2"/>
    <w:rsid w:val="00203E1E"/>
    <w:rsid w:val="00204231"/>
    <w:rsid w:val="00204243"/>
    <w:rsid w:val="002048ED"/>
    <w:rsid w:val="00204E3D"/>
    <w:rsid w:val="00207EC5"/>
    <w:rsid w:val="00210402"/>
    <w:rsid w:val="00210884"/>
    <w:rsid w:val="00210B90"/>
    <w:rsid w:val="00211C37"/>
    <w:rsid w:val="00212B42"/>
    <w:rsid w:val="00213F33"/>
    <w:rsid w:val="002151CA"/>
    <w:rsid w:val="0021526D"/>
    <w:rsid w:val="002167C0"/>
    <w:rsid w:val="00216E82"/>
    <w:rsid w:val="00217408"/>
    <w:rsid w:val="00217ADF"/>
    <w:rsid w:val="0022205F"/>
    <w:rsid w:val="002226B2"/>
    <w:rsid w:val="0022284F"/>
    <w:rsid w:val="002236A9"/>
    <w:rsid w:val="002249D0"/>
    <w:rsid w:val="00224AA2"/>
    <w:rsid w:val="002264D9"/>
    <w:rsid w:val="0022715E"/>
    <w:rsid w:val="00227B0E"/>
    <w:rsid w:val="00230597"/>
    <w:rsid w:val="0023069E"/>
    <w:rsid w:val="00230BF1"/>
    <w:rsid w:val="002314CD"/>
    <w:rsid w:val="0023297E"/>
    <w:rsid w:val="00232A85"/>
    <w:rsid w:val="002358FF"/>
    <w:rsid w:val="002364A6"/>
    <w:rsid w:val="00236BA2"/>
    <w:rsid w:val="00236E5E"/>
    <w:rsid w:val="00237A54"/>
    <w:rsid w:val="00237D4D"/>
    <w:rsid w:val="00241DA3"/>
    <w:rsid w:val="00244019"/>
    <w:rsid w:val="00244771"/>
    <w:rsid w:val="00245FF0"/>
    <w:rsid w:val="002468CD"/>
    <w:rsid w:val="00247056"/>
    <w:rsid w:val="00250365"/>
    <w:rsid w:val="002525A6"/>
    <w:rsid w:val="002526B9"/>
    <w:rsid w:val="0025422F"/>
    <w:rsid w:val="002565E5"/>
    <w:rsid w:val="00256C81"/>
    <w:rsid w:val="00256D23"/>
    <w:rsid w:val="00262277"/>
    <w:rsid w:val="00262EB6"/>
    <w:rsid w:val="0026326F"/>
    <w:rsid w:val="00263AA1"/>
    <w:rsid w:val="00266448"/>
    <w:rsid w:val="00270D02"/>
    <w:rsid w:val="00272927"/>
    <w:rsid w:val="00272A6F"/>
    <w:rsid w:val="00273270"/>
    <w:rsid w:val="002735F5"/>
    <w:rsid w:val="002745D9"/>
    <w:rsid w:val="00274C9E"/>
    <w:rsid w:val="002763A1"/>
    <w:rsid w:val="00277345"/>
    <w:rsid w:val="002807CE"/>
    <w:rsid w:val="00281427"/>
    <w:rsid w:val="0028188B"/>
    <w:rsid w:val="00281928"/>
    <w:rsid w:val="00281B44"/>
    <w:rsid w:val="002820D4"/>
    <w:rsid w:val="0028372B"/>
    <w:rsid w:val="00284FEC"/>
    <w:rsid w:val="00285515"/>
    <w:rsid w:val="0028568E"/>
    <w:rsid w:val="00286395"/>
    <w:rsid w:val="00286516"/>
    <w:rsid w:val="00286EEE"/>
    <w:rsid w:val="00287A9F"/>
    <w:rsid w:val="00287F23"/>
    <w:rsid w:val="00291B71"/>
    <w:rsid w:val="00291BD8"/>
    <w:rsid w:val="002920B5"/>
    <w:rsid w:val="00292C26"/>
    <w:rsid w:val="00292D77"/>
    <w:rsid w:val="0029340E"/>
    <w:rsid w:val="00293E83"/>
    <w:rsid w:val="00294AD0"/>
    <w:rsid w:val="00295451"/>
    <w:rsid w:val="002978E8"/>
    <w:rsid w:val="002A2640"/>
    <w:rsid w:val="002A357D"/>
    <w:rsid w:val="002A4E17"/>
    <w:rsid w:val="002A4E77"/>
    <w:rsid w:val="002A5784"/>
    <w:rsid w:val="002A6A66"/>
    <w:rsid w:val="002A6D3D"/>
    <w:rsid w:val="002A72B8"/>
    <w:rsid w:val="002A734A"/>
    <w:rsid w:val="002A77D3"/>
    <w:rsid w:val="002A7F76"/>
    <w:rsid w:val="002B05D6"/>
    <w:rsid w:val="002B0BFF"/>
    <w:rsid w:val="002B0EFC"/>
    <w:rsid w:val="002B1002"/>
    <w:rsid w:val="002B21DB"/>
    <w:rsid w:val="002B3A93"/>
    <w:rsid w:val="002B3ED5"/>
    <w:rsid w:val="002B42E4"/>
    <w:rsid w:val="002B436F"/>
    <w:rsid w:val="002B5A01"/>
    <w:rsid w:val="002B5DB9"/>
    <w:rsid w:val="002B62D0"/>
    <w:rsid w:val="002B6EA6"/>
    <w:rsid w:val="002B7891"/>
    <w:rsid w:val="002B7F03"/>
    <w:rsid w:val="002C065B"/>
    <w:rsid w:val="002C1459"/>
    <w:rsid w:val="002C1AB5"/>
    <w:rsid w:val="002C1EFE"/>
    <w:rsid w:val="002C23F7"/>
    <w:rsid w:val="002C2441"/>
    <w:rsid w:val="002C28BC"/>
    <w:rsid w:val="002C2A6F"/>
    <w:rsid w:val="002C2FBF"/>
    <w:rsid w:val="002C6935"/>
    <w:rsid w:val="002C74DB"/>
    <w:rsid w:val="002D0A7F"/>
    <w:rsid w:val="002D0CE6"/>
    <w:rsid w:val="002D1356"/>
    <w:rsid w:val="002D1A52"/>
    <w:rsid w:val="002D1D14"/>
    <w:rsid w:val="002D25DE"/>
    <w:rsid w:val="002D3F8F"/>
    <w:rsid w:val="002D52B0"/>
    <w:rsid w:val="002D6A83"/>
    <w:rsid w:val="002D6B5D"/>
    <w:rsid w:val="002D7821"/>
    <w:rsid w:val="002E0B78"/>
    <w:rsid w:val="002E0DB6"/>
    <w:rsid w:val="002E149B"/>
    <w:rsid w:val="002E1964"/>
    <w:rsid w:val="002E229D"/>
    <w:rsid w:val="002E258E"/>
    <w:rsid w:val="002E39F8"/>
    <w:rsid w:val="002E51C9"/>
    <w:rsid w:val="002E6D88"/>
    <w:rsid w:val="002E7069"/>
    <w:rsid w:val="002E78A3"/>
    <w:rsid w:val="002E7A02"/>
    <w:rsid w:val="002F2EEF"/>
    <w:rsid w:val="002F35D2"/>
    <w:rsid w:val="002F38D8"/>
    <w:rsid w:val="002F3C6F"/>
    <w:rsid w:val="002F614D"/>
    <w:rsid w:val="002F67BD"/>
    <w:rsid w:val="002F7278"/>
    <w:rsid w:val="002F7646"/>
    <w:rsid w:val="002F766D"/>
    <w:rsid w:val="00300795"/>
    <w:rsid w:val="00300805"/>
    <w:rsid w:val="00302571"/>
    <w:rsid w:val="00303521"/>
    <w:rsid w:val="003038C6"/>
    <w:rsid w:val="00304843"/>
    <w:rsid w:val="00304BB4"/>
    <w:rsid w:val="003052D3"/>
    <w:rsid w:val="0030602E"/>
    <w:rsid w:val="00307A95"/>
    <w:rsid w:val="00312262"/>
    <w:rsid w:val="0031311D"/>
    <w:rsid w:val="00313648"/>
    <w:rsid w:val="00313B05"/>
    <w:rsid w:val="0031415F"/>
    <w:rsid w:val="00314D9D"/>
    <w:rsid w:val="00315057"/>
    <w:rsid w:val="003153AC"/>
    <w:rsid w:val="00315699"/>
    <w:rsid w:val="00317AF0"/>
    <w:rsid w:val="0032113F"/>
    <w:rsid w:val="003211EB"/>
    <w:rsid w:val="00321821"/>
    <w:rsid w:val="00322175"/>
    <w:rsid w:val="00322675"/>
    <w:rsid w:val="00322932"/>
    <w:rsid w:val="00323C0A"/>
    <w:rsid w:val="00323EE6"/>
    <w:rsid w:val="00324BD7"/>
    <w:rsid w:val="003250CE"/>
    <w:rsid w:val="00325675"/>
    <w:rsid w:val="00325CEA"/>
    <w:rsid w:val="00325E92"/>
    <w:rsid w:val="003261D3"/>
    <w:rsid w:val="00327A2A"/>
    <w:rsid w:val="0033096B"/>
    <w:rsid w:val="00333E69"/>
    <w:rsid w:val="00334ADF"/>
    <w:rsid w:val="00334D18"/>
    <w:rsid w:val="00335079"/>
    <w:rsid w:val="00337050"/>
    <w:rsid w:val="003379E6"/>
    <w:rsid w:val="00337C78"/>
    <w:rsid w:val="00340919"/>
    <w:rsid w:val="00342662"/>
    <w:rsid w:val="00342799"/>
    <w:rsid w:val="00343298"/>
    <w:rsid w:val="00343F4C"/>
    <w:rsid w:val="0034581F"/>
    <w:rsid w:val="00345DE6"/>
    <w:rsid w:val="003479E5"/>
    <w:rsid w:val="00351397"/>
    <w:rsid w:val="00352115"/>
    <w:rsid w:val="00352B4B"/>
    <w:rsid w:val="00352F55"/>
    <w:rsid w:val="0035369E"/>
    <w:rsid w:val="00353992"/>
    <w:rsid w:val="0035406D"/>
    <w:rsid w:val="00355279"/>
    <w:rsid w:val="00355F81"/>
    <w:rsid w:val="00356037"/>
    <w:rsid w:val="003606FE"/>
    <w:rsid w:val="003607D9"/>
    <w:rsid w:val="00360985"/>
    <w:rsid w:val="003611FF"/>
    <w:rsid w:val="00361E3E"/>
    <w:rsid w:val="00361ED3"/>
    <w:rsid w:val="0036242D"/>
    <w:rsid w:val="00364D78"/>
    <w:rsid w:val="00365348"/>
    <w:rsid w:val="00365C52"/>
    <w:rsid w:val="00366104"/>
    <w:rsid w:val="00366820"/>
    <w:rsid w:val="00367424"/>
    <w:rsid w:val="003709EE"/>
    <w:rsid w:val="003719D3"/>
    <w:rsid w:val="00372B9C"/>
    <w:rsid w:val="00373A93"/>
    <w:rsid w:val="00373B24"/>
    <w:rsid w:val="00373B61"/>
    <w:rsid w:val="00373E2E"/>
    <w:rsid w:val="00374FAB"/>
    <w:rsid w:val="00375560"/>
    <w:rsid w:val="00375664"/>
    <w:rsid w:val="003757F1"/>
    <w:rsid w:val="003760E5"/>
    <w:rsid w:val="0037621E"/>
    <w:rsid w:val="00377359"/>
    <w:rsid w:val="00380034"/>
    <w:rsid w:val="0038008A"/>
    <w:rsid w:val="003804B4"/>
    <w:rsid w:val="003805C9"/>
    <w:rsid w:val="00380EEB"/>
    <w:rsid w:val="00381431"/>
    <w:rsid w:val="0038404F"/>
    <w:rsid w:val="00384F62"/>
    <w:rsid w:val="003852BD"/>
    <w:rsid w:val="00385CF3"/>
    <w:rsid w:val="003902DC"/>
    <w:rsid w:val="0039129A"/>
    <w:rsid w:val="00392911"/>
    <w:rsid w:val="00392C0A"/>
    <w:rsid w:val="00393352"/>
    <w:rsid w:val="00393D25"/>
    <w:rsid w:val="003949E9"/>
    <w:rsid w:val="00394E6E"/>
    <w:rsid w:val="003951F5"/>
    <w:rsid w:val="003959C0"/>
    <w:rsid w:val="0039642A"/>
    <w:rsid w:val="00396CDB"/>
    <w:rsid w:val="0039720E"/>
    <w:rsid w:val="00397674"/>
    <w:rsid w:val="00397BA0"/>
    <w:rsid w:val="00397E70"/>
    <w:rsid w:val="003A26EF"/>
    <w:rsid w:val="003A2E93"/>
    <w:rsid w:val="003A35CF"/>
    <w:rsid w:val="003A3CCE"/>
    <w:rsid w:val="003A444E"/>
    <w:rsid w:val="003A650D"/>
    <w:rsid w:val="003A672E"/>
    <w:rsid w:val="003A6A44"/>
    <w:rsid w:val="003A6D1C"/>
    <w:rsid w:val="003A7086"/>
    <w:rsid w:val="003A70DA"/>
    <w:rsid w:val="003A7F5D"/>
    <w:rsid w:val="003B131F"/>
    <w:rsid w:val="003B38E8"/>
    <w:rsid w:val="003C00BE"/>
    <w:rsid w:val="003C0100"/>
    <w:rsid w:val="003C023C"/>
    <w:rsid w:val="003C0448"/>
    <w:rsid w:val="003C194E"/>
    <w:rsid w:val="003C28E4"/>
    <w:rsid w:val="003C3333"/>
    <w:rsid w:val="003C6098"/>
    <w:rsid w:val="003C647C"/>
    <w:rsid w:val="003D3843"/>
    <w:rsid w:val="003D3AD2"/>
    <w:rsid w:val="003D5936"/>
    <w:rsid w:val="003D60F2"/>
    <w:rsid w:val="003E0937"/>
    <w:rsid w:val="003E0DAF"/>
    <w:rsid w:val="003E0E67"/>
    <w:rsid w:val="003E0FC1"/>
    <w:rsid w:val="003E63CE"/>
    <w:rsid w:val="003E7AA9"/>
    <w:rsid w:val="003F0266"/>
    <w:rsid w:val="003F0484"/>
    <w:rsid w:val="003F22A7"/>
    <w:rsid w:val="003F2F53"/>
    <w:rsid w:val="003F316A"/>
    <w:rsid w:val="003F389A"/>
    <w:rsid w:val="003F4303"/>
    <w:rsid w:val="003F4486"/>
    <w:rsid w:val="003F6511"/>
    <w:rsid w:val="003F67B1"/>
    <w:rsid w:val="003F692F"/>
    <w:rsid w:val="003F7467"/>
    <w:rsid w:val="003F74DF"/>
    <w:rsid w:val="003F7D1E"/>
    <w:rsid w:val="003F7F37"/>
    <w:rsid w:val="004003A4"/>
    <w:rsid w:val="00401DC5"/>
    <w:rsid w:val="00402295"/>
    <w:rsid w:val="0040270D"/>
    <w:rsid w:val="00403E1A"/>
    <w:rsid w:val="004051C9"/>
    <w:rsid w:val="004052BB"/>
    <w:rsid w:val="00405EAE"/>
    <w:rsid w:val="00405F88"/>
    <w:rsid w:val="00407528"/>
    <w:rsid w:val="004100B4"/>
    <w:rsid w:val="0041203A"/>
    <w:rsid w:val="00414862"/>
    <w:rsid w:val="00415234"/>
    <w:rsid w:val="0041534A"/>
    <w:rsid w:val="004157C2"/>
    <w:rsid w:val="00415926"/>
    <w:rsid w:val="004166EE"/>
    <w:rsid w:val="004169C1"/>
    <w:rsid w:val="00420750"/>
    <w:rsid w:val="004220E1"/>
    <w:rsid w:val="00422244"/>
    <w:rsid w:val="0042226B"/>
    <w:rsid w:val="00422D19"/>
    <w:rsid w:val="004251B4"/>
    <w:rsid w:val="0042572E"/>
    <w:rsid w:val="00425E7F"/>
    <w:rsid w:val="00425E9C"/>
    <w:rsid w:val="0042746D"/>
    <w:rsid w:val="004278B3"/>
    <w:rsid w:val="004278F0"/>
    <w:rsid w:val="00427D59"/>
    <w:rsid w:val="004300EB"/>
    <w:rsid w:val="00430445"/>
    <w:rsid w:val="004305E8"/>
    <w:rsid w:val="0043062F"/>
    <w:rsid w:val="004311CA"/>
    <w:rsid w:val="004326AB"/>
    <w:rsid w:val="004334C9"/>
    <w:rsid w:val="00433528"/>
    <w:rsid w:val="004337ED"/>
    <w:rsid w:val="0043553D"/>
    <w:rsid w:val="00435904"/>
    <w:rsid w:val="00436767"/>
    <w:rsid w:val="00437328"/>
    <w:rsid w:val="00437656"/>
    <w:rsid w:val="00440905"/>
    <w:rsid w:val="0044130A"/>
    <w:rsid w:val="004413EC"/>
    <w:rsid w:val="00441BA2"/>
    <w:rsid w:val="004423FB"/>
    <w:rsid w:val="00442526"/>
    <w:rsid w:val="00442783"/>
    <w:rsid w:val="0044306E"/>
    <w:rsid w:val="00444ABE"/>
    <w:rsid w:val="00445A2A"/>
    <w:rsid w:val="00445E50"/>
    <w:rsid w:val="00447D9F"/>
    <w:rsid w:val="004519B3"/>
    <w:rsid w:val="00451CF9"/>
    <w:rsid w:val="004531D7"/>
    <w:rsid w:val="00454583"/>
    <w:rsid w:val="00454BF6"/>
    <w:rsid w:val="004555AB"/>
    <w:rsid w:val="00455EAE"/>
    <w:rsid w:val="004562B3"/>
    <w:rsid w:val="00456E09"/>
    <w:rsid w:val="00456EC9"/>
    <w:rsid w:val="0045738E"/>
    <w:rsid w:val="00457D25"/>
    <w:rsid w:val="0046117E"/>
    <w:rsid w:val="0046184E"/>
    <w:rsid w:val="0046430E"/>
    <w:rsid w:val="004645DA"/>
    <w:rsid w:val="0046492D"/>
    <w:rsid w:val="00465404"/>
    <w:rsid w:val="00466021"/>
    <w:rsid w:val="00467C40"/>
    <w:rsid w:val="00467FF0"/>
    <w:rsid w:val="00471EB9"/>
    <w:rsid w:val="004736C5"/>
    <w:rsid w:val="00473C09"/>
    <w:rsid w:val="00474CEC"/>
    <w:rsid w:val="00475829"/>
    <w:rsid w:val="00475C57"/>
    <w:rsid w:val="00476295"/>
    <w:rsid w:val="004806A1"/>
    <w:rsid w:val="004817A8"/>
    <w:rsid w:val="0048394F"/>
    <w:rsid w:val="00484383"/>
    <w:rsid w:val="004852D1"/>
    <w:rsid w:val="00490251"/>
    <w:rsid w:val="004906C1"/>
    <w:rsid w:val="004915D4"/>
    <w:rsid w:val="004916DC"/>
    <w:rsid w:val="00492698"/>
    <w:rsid w:val="00492BE3"/>
    <w:rsid w:val="0049459B"/>
    <w:rsid w:val="0049550F"/>
    <w:rsid w:val="00495E16"/>
    <w:rsid w:val="004967DE"/>
    <w:rsid w:val="0049724D"/>
    <w:rsid w:val="004A1911"/>
    <w:rsid w:val="004A2651"/>
    <w:rsid w:val="004A272A"/>
    <w:rsid w:val="004A2A1E"/>
    <w:rsid w:val="004A3360"/>
    <w:rsid w:val="004A3969"/>
    <w:rsid w:val="004A3ACF"/>
    <w:rsid w:val="004A4B2C"/>
    <w:rsid w:val="004A4C7E"/>
    <w:rsid w:val="004A55F4"/>
    <w:rsid w:val="004A68F1"/>
    <w:rsid w:val="004A6C6D"/>
    <w:rsid w:val="004A6EC4"/>
    <w:rsid w:val="004B0E20"/>
    <w:rsid w:val="004B12B1"/>
    <w:rsid w:val="004B1BC0"/>
    <w:rsid w:val="004B20BF"/>
    <w:rsid w:val="004B3363"/>
    <w:rsid w:val="004B391B"/>
    <w:rsid w:val="004B64B0"/>
    <w:rsid w:val="004B726B"/>
    <w:rsid w:val="004C0A6C"/>
    <w:rsid w:val="004C1BFD"/>
    <w:rsid w:val="004C2332"/>
    <w:rsid w:val="004C35D4"/>
    <w:rsid w:val="004C444C"/>
    <w:rsid w:val="004C4D7A"/>
    <w:rsid w:val="004C5977"/>
    <w:rsid w:val="004C68EF"/>
    <w:rsid w:val="004C72D3"/>
    <w:rsid w:val="004D03FD"/>
    <w:rsid w:val="004D0CB4"/>
    <w:rsid w:val="004D0D85"/>
    <w:rsid w:val="004D0F8A"/>
    <w:rsid w:val="004D1EEA"/>
    <w:rsid w:val="004D24A4"/>
    <w:rsid w:val="004D26DA"/>
    <w:rsid w:val="004D2934"/>
    <w:rsid w:val="004D3079"/>
    <w:rsid w:val="004D339D"/>
    <w:rsid w:val="004D43AE"/>
    <w:rsid w:val="004D4C0C"/>
    <w:rsid w:val="004D52CD"/>
    <w:rsid w:val="004D59B3"/>
    <w:rsid w:val="004D6A83"/>
    <w:rsid w:val="004D6E3F"/>
    <w:rsid w:val="004D6F1A"/>
    <w:rsid w:val="004E1DBF"/>
    <w:rsid w:val="004E2A0F"/>
    <w:rsid w:val="004E2E85"/>
    <w:rsid w:val="004E3823"/>
    <w:rsid w:val="004E5039"/>
    <w:rsid w:val="004E69E3"/>
    <w:rsid w:val="004E6C0C"/>
    <w:rsid w:val="004E6D82"/>
    <w:rsid w:val="004E6ECB"/>
    <w:rsid w:val="004E7066"/>
    <w:rsid w:val="004F0CE3"/>
    <w:rsid w:val="004F0D82"/>
    <w:rsid w:val="004F3A53"/>
    <w:rsid w:val="004F464B"/>
    <w:rsid w:val="004F482B"/>
    <w:rsid w:val="004F4B44"/>
    <w:rsid w:val="004F5549"/>
    <w:rsid w:val="004F7485"/>
    <w:rsid w:val="004F7DFB"/>
    <w:rsid w:val="00500356"/>
    <w:rsid w:val="005003E8"/>
    <w:rsid w:val="00501C03"/>
    <w:rsid w:val="00502DB7"/>
    <w:rsid w:val="00505928"/>
    <w:rsid w:val="005071DC"/>
    <w:rsid w:val="005078D1"/>
    <w:rsid w:val="00507AFF"/>
    <w:rsid w:val="005107FC"/>
    <w:rsid w:val="00510C35"/>
    <w:rsid w:val="00510F80"/>
    <w:rsid w:val="00513BF1"/>
    <w:rsid w:val="00513C95"/>
    <w:rsid w:val="00513E1E"/>
    <w:rsid w:val="005148AE"/>
    <w:rsid w:val="00514C8F"/>
    <w:rsid w:val="005150E9"/>
    <w:rsid w:val="00517A6C"/>
    <w:rsid w:val="00517DCE"/>
    <w:rsid w:val="00520112"/>
    <w:rsid w:val="0052022A"/>
    <w:rsid w:val="005202DE"/>
    <w:rsid w:val="00520AA7"/>
    <w:rsid w:val="005239C2"/>
    <w:rsid w:val="00523AFB"/>
    <w:rsid w:val="00524584"/>
    <w:rsid w:val="00525E5B"/>
    <w:rsid w:val="00525E8A"/>
    <w:rsid w:val="00525F97"/>
    <w:rsid w:val="005262AC"/>
    <w:rsid w:val="0052673F"/>
    <w:rsid w:val="005303FF"/>
    <w:rsid w:val="00530D75"/>
    <w:rsid w:val="0053144E"/>
    <w:rsid w:val="005335E2"/>
    <w:rsid w:val="00534B09"/>
    <w:rsid w:val="00534D32"/>
    <w:rsid w:val="005361A5"/>
    <w:rsid w:val="00536381"/>
    <w:rsid w:val="00537113"/>
    <w:rsid w:val="00537677"/>
    <w:rsid w:val="00537D4E"/>
    <w:rsid w:val="00540E1D"/>
    <w:rsid w:val="00542240"/>
    <w:rsid w:val="00544D95"/>
    <w:rsid w:val="005459AD"/>
    <w:rsid w:val="0054690E"/>
    <w:rsid w:val="005477E7"/>
    <w:rsid w:val="005502DC"/>
    <w:rsid w:val="005509FD"/>
    <w:rsid w:val="00553D12"/>
    <w:rsid w:val="00554550"/>
    <w:rsid w:val="005552EE"/>
    <w:rsid w:val="00555E82"/>
    <w:rsid w:val="00556556"/>
    <w:rsid w:val="00556CE3"/>
    <w:rsid w:val="00560200"/>
    <w:rsid w:val="00560B05"/>
    <w:rsid w:val="00563D68"/>
    <w:rsid w:val="005642A4"/>
    <w:rsid w:val="00564A9F"/>
    <w:rsid w:val="00564DE6"/>
    <w:rsid w:val="00564E94"/>
    <w:rsid w:val="00565099"/>
    <w:rsid w:val="0056573F"/>
    <w:rsid w:val="00565B9A"/>
    <w:rsid w:val="00565D6A"/>
    <w:rsid w:val="00566427"/>
    <w:rsid w:val="00566EA4"/>
    <w:rsid w:val="0056704E"/>
    <w:rsid w:val="005670C9"/>
    <w:rsid w:val="0056797D"/>
    <w:rsid w:val="0057037B"/>
    <w:rsid w:val="005744AA"/>
    <w:rsid w:val="005758CB"/>
    <w:rsid w:val="00575F75"/>
    <w:rsid w:val="0057661D"/>
    <w:rsid w:val="00576674"/>
    <w:rsid w:val="00576E4F"/>
    <w:rsid w:val="005771DF"/>
    <w:rsid w:val="005806B1"/>
    <w:rsid w:val="00581959"/>
    <w:rsid w:val="005824E3"/>
    <w:rsid w:val="00583B33"/>
    <w:rsid w:val="00585C52"/>
    <w:rsid w:val="005904B2"/>
    <w:rsid w:val="005909A7"/>
    <w:rsid w:val="00590A45"/>
    <w:rsid w:val="0059220C"/>
    <w:rsid w:val="005932D0"/>
    <w:rsid w:val="0059391C"/>
    <w:rsid w:val="005939E0"/>
    <w:rsid w:val="00594CCE"/>
    <w:rsid w:val="00594FBF"/>
    <w:rsid w:val="00596206"/>
    <w:rsid w:val="00596662"/>
    <w:rsid w:val="005977D8"/>
    <w:rsid w:val="00597FF4"/>
    <w:rsid w:val="005A0A66"/>
    <w:rsid w:val="005A1B3D"/>
    <w:rsid w:val="005A20AB"/>
    <w:rsid w:val="005A2BDE"/>
    <w:rsid w:val="005A39C3"/>
    <w:rsid w:val="005A5126"/>
    <w:rsid w:val="005A625C"/>
    <w:rsid w:val="005A7F7D"/>
    <w:rsid w:val="005B0A90"/>
    <w:rsid w:val="005B0F71"/>
    <w:rsid w:val="005B1967"/>
    <w:rsid w:val="005B1C3E"/>
    <w:rsid w:val="005B1FEF"/>
    <w:rsid w:val="005B20F6"/>
    <w:rsid w:val="005B26E7"/>
    <w:rsid w:val="005B29AB"/>
    <w:rsid w:val="005B2F7F"/>
    <w:rsid w:val="005B321A"/>
    <w:rsid w:val="005B49DA"/>
    <w:rsid w:val="005B4AAF"/>
    <w:rsid w:val="005B4F02"/>
    <w:rsid w:val="005B75C5"/>
    <w:rsid w:val="005B7F71"/>
    <w:rsid w:val="005C17B2"/>
    <w:rsid w:val="005C34AE"/>
    <w:rsid w:val="005C38D5"/>
    <w:rsid w:val="005C3C0E"/>
    <w:rsid w:val="005C3C40"/>
    <w:rsid w:val="005C4205"/>
    <w:rsid w:val="005C4C39"/>
    <w:rsid w:val="005C54F6"/>
    <w:rsid w:val="005C58EF"/>
    <w:rsid w:val="005C5EA0"/>
    <w:rsid w:val="005C6D61"/>
    <w:rsid w:val="005C7104"/>
    <w:rsid w:val="005C74D5"/>
    <w:rsid w:val="005D006A"/>
    <w:rsid w:val="005D18E1"/>
    <w:rsid w:val="005D26D4"/>
    <w:rsid w:val="005D3271"/>
    <w:rsid w:val="005D36AD"/>
    <w:rsid w:val="005D6646"/>
    <w:rsid w:val="005D770D"/>
    <w:rsid w:val="005D77A3"/>
    <w:rsid w:val="005D7CD8"/>
    <w:rsid w:val="005D7DF8"/>
    <w:rsid w:val="005E1B41"/>
    <w:rsid w:val="005E2C2B"/>
    <w:rsid w:val="005E30BA"/>
    <w:rsid w:val="005E3E55"/>
    <w:rsid w:val="005E43BB"/>
    <w:rsid w:val="005E466E"/>
    <w:rsid w:val="005E6C16"/>
    <w:rsid w:val="005F05DC"/>
    <w:rsid w:val="005F2356"/>
    <w:rsid w:val="005F28B9"/>
    <w:rsid w:val="005F393A"/>
    <w:rsid w:val="005F43A6"/>
    <w:rsid w:val="005F4D30"/>
    <w:rsid w:val="005F55C7"/>
    <w:rsid w:val="005F6096"/>
    <w:rsid w:val="005F6229"/>
    <w:rsid w:val="005F6A2F"/>
    <w:rsid w:val="005F7001"/>
    <w:rsid w:val="005F7731"/>
    <w:rsid w:val="005F7C0F"/>
    <w:rsid w:val="005F7CB2"/>
    <w:rsid w:val="00600854"/>
    <w:rsid w:val="00602CAC"/>
    <w:rsid w:val="006032D1"/>
    <w:rsid w:val="00603723"/>
    <w:rsid w:val="00604987"/>
    <w:rsid w:val="00604B8C"/>
    <w:rsid w:val="006069E1"/>
    <w:rsid w:val="00606AF3"/>
    <w:rsid w:val="00606B89"/>
    <w:rsid w:val="0060765B"/>
    <w:rsid w:val="006100D2"/>
    <w:rsid w:val="00610465"/>
    <w:rsid w:val="00610B08"/>
    <w:rsid w:val="00610F35"/>
    <w:rsid w:val="006117B5"/>
    <w:rsid w:val="0061253B"/>
    <w:rsid w:val="006154C9"/>
    <w:rsid w:val="00615EEC"/>
    <w:rsid w:val="00617313"/>
    <w:rsid w:val="00621300"/>
    <w:rsid w:val="006216AD"/>
    <w:rsid w:val="00621A6C"/>
    <w:rsid w:val="0062247F"/>
    <w:rsid w:val="00622B8B"/>
    <w:rsid w:val="0062349D"/>
    <w:rsid w:val="006236FF"/>
    <w:rsid w:val="006240C4"/>
    <w:rsid w:val="006241CD"/>
    <w:rsid w:val="00624D32"/>
    <w:rsid w:val="00625FD3"/>
    <w:rsid w:val="00626386"/>
    <w:rsid w:val="00627282"/>
    <w:rsid w:val="00627387"/>
    <w:rsid w:val="00630E35"/>
    <w:rsid w:val="00632A88"/>
    <w:rsid w:val="00633B0B"/>
    <w:rsid w:val="00634C56"/>
    <w:rsid w:val="00634D8F"/>
    <w:rsid w:val="00634F06"/>
    <w:rsid w:val="00635D58"/>
    <w:rsid w:val="006376F1"/>
    <w:rsid w:val="00637724"/>
    <w:rsid w:val="00637E77"/>
    <w:rsid w:val="006415D9"/>
    <w:rsid w:val="00641DAE"/>
    <w:rsid w:val="00642164"/>
    <w:rsid w:val="0064276F"/>
    <w:rsid w:val="006428BE"/>
    <w:rsid w:val="006437BC"/>
    <w:rsid w:val="00643B3D"/>
    <w:rsid w:val="00644566"/>
    <w:rsid w:val="00644F0C"/>
    <w:rsid w:val="00645707"/>
    <w:rsid w:val="00645AF8"/>
    <w:rsid w:val="00647665"/>
    <w:rsid w:val="00650D1C"/>
    <w:rsid w:val="00650FDE"/>
    <w:rsid w:val="006514AF"/>
    <w:rsid w:val="00651574"/>
    <w:rsid w:val="00651725"/>
    <w:rsid w:val="00651800"/>
    <w:rsid w:val="006530C8"/>
    <w:rsid w:val="006537FA"/>
    <w:rsid w:val="00657341"/>
    <w:rsid w:val="00660F56"/>
    <w:rsid w:val="00661224"/>
    <w:rsid w:val="00663026"/>
    <w:rsid w:val="006652BD"/>
    <w:rsid w:val="006653F3"/>
    <w:rsid w:val="0066687C"/>
    <w:rsid w:val="00666A70"/>
    <w:rsid w:val="00667CBE"/>
    <w:rsid w:val="00670C0F"/>
    <w:rsid w:val="006713C8"/>
    <w:rsid w:val="0067220B"/>
    <w:rsid w:val="00672A15"/>
    <w:rsid w:val="00673770"/>
    <w:rsid w:val="0067386F"/>
    <w:rsid w:val="006738B3"/>
    <w:rsid w:val="00673E6C"/>
    <w:rsid w:val="0067435D"/>
    <w:rsid w:val="00674E64"/>
    <w:rsid w:val="006751F5"/>
    <w:rsid w:val="006777DB"/>
    <w:rsid w:val="00680550"/>
    <w:rsid w:val="00681643"/>
    <w:rsid w:val="006837C1"/>
    <w:rsid w:val="00684F7C"/>
    <w:rsid w:val="00685C7C"/>
    <w:rsid w:val="00685E04"/>
    <w:rsid w:val="0068654D"/>
    <w:rsid w:val="00692A55"/>
    <w:rsid w:val="00693468"/>
    <w:rsid w:val="006934ED"/>
    <w:rsid w:val="00693A23"/>
    <w:rsid w:val="00693B9E"/>
    <w:rsid w:val="00693C53"/>
    <w:rsid w:val="0069486D"/>
    <w:rsid w:val="006948E4"/>
    <w:rsid w:val="00694A5E"/>
    <w:rsid w:val="00694C3A"/>
    <w:rsid w:val="00695801"/>
    <w:rsid w:val="00695B3F"/>
    <w:rsid w:val="006960CE"/>
    <w:rsid w:val="0069659E"/>
    <w:rsid w:val="00696FDB"/>
    <w:rsid w:val="006978C5"/>
    <w:rsid w:val="006A0720"/>
    <w:rsid w:val="006A0A73"/>
    <w:rsid w:val="006A1FC4"/>
    <w:rsid w:val="006A2468"/>
    <w:rsid w:val="006A29B2"/>
    <w:rsid w:val="006A6C3F"/>
    <w:rsid w:val="006B04DD"/>
    <w:rsid w:val="006B1957"/>
    <w:rsid w:val="006B286B"/>
    <w:rsid w:val="006B4739"/>
    <w:rsid w:val="006B605C"/>
    <w:rsid w:val="006C068F"/>
    <w:rsid w:val="006C075A"/>
    <w:rsid w:val="006C0887"/>
    <w:rsid w:val="006C21A3"/>
    <w:rsid w:val="006C23E1"/>
    <w:rsid w:val="006C2BFC"/>
    <w:rsid w:val="006C3314"/>
    <w:rsid w:val="006C487A"/>
    <w:rsid w:val="006C51F5"/>
    <w:rsid w:val="006C5519"/>
    <w:rsid w:val="006C70B1"/>
    <w:rsid w:val="006C74F3"/>
    <w:rsid w:val="006D0C56"/>
    <w:rsid w:val="006D105C"/>
    <w:rsid w:val="006D1096"/>
    <w:rsid w:val="006D13DF"/>
    <w:rsid w:val="006D1485"/>
    <w:rsid w:val="006D19DD"/>
    <w:rsid w:val="006D39A6"/>
    <w:rsid w:val="006D3E8C"/>
    <w:rsid w:val="006D6833"/>
    <w:rsid w:val="006D78F8"/>
    <w:rsid w:val="006D79B8"/>
    <w:rsid w:val="006E0C57"/>
    <w:rsid w:val="006E1095"/>
    <w:rsid w:val="006E1B25"/>
    <w:rsid w:val="006E1D16"/>
    <w:rsid w:val="006E1D94"/>
    <w:rsid w:val="006E2805"/>
    <w:rsid w:val="006E3248"/>
    <w:rsid w:val="006E4072"/>
    <w:rsid w:val="006E453C"/>
    <w:rsid w:val="006E4541"/>
    <w:rsid w:val="006E5405"/>
    <w:rsid w:val="006E761F"/>
    <w:rsid w:val="006F046A"/>
    <w:rsid w:val="006F096C"/>
    <w:rsid w:val="006F157D"/>
    <w:rsid w:val="006F1999"/>
    <w:rsid w:val="006F2045"/>
    <w:rsid w:val="006F215C"/>
    <w:rsid w:val="006F3677"/>
    <w:rsid w:val="006F372F"/>
    <w:rsid w:val="006F3B57"/>
    <w:rsid w:val="006F54C7"/>
    <w:rsid w:val="006F6D9D"/>
    <w:rsid w:val="00701210"/>
    <w:rsid w:val="007013FA"/>
    <w:rsid w:val="00704FEA"/>
    <w:rsid w:val="0070536B"/>
    <w:rsid w:val="00705706"/>
    <w:rsid w:val="00706987"/>
    <w:rsid w:val="00706AE9"/>
    <w:rsid w:val="00707E7B"/>
    <w:rsid w:val="00710435"/>
    <w:rsid w:val="00711039"/>
    <w:rsid w:val="00711F75"/>
    <w:rsid w:val="00712108"/>
    <w:rsid w:val="00715210"/>
    <w:rsid w:val="0071699B"/>
    <w:rsid w:val="00717ACA"/>
    <w:rsid w:val="007201DD"/>
    <w:rsid w:val="00720A27"/>
    <w:rsid w:val="00720EA5"/>
    <w:rsid w:val="00721D1D"/>
    <w:rsid w:val="00722719"/>
    <w:rsid w:val="00725F2F"/>
    <w:rsid w:val="00726B2F"/>
    <w:rsid w:val="00726C21"/>
    <w:rsid w:val="00726D2B"/>
    <w:rsid w:val="0072786F"/>
    <w:rsid w:val="00732402"/>
    <w:rsid w:val="00734171"/>
    <w:rsid w:val="00734252"/>
    <w:rsid w:val="0073509A"/>
    <w:rsid w:val="00735306"/>
    <w:rsid w:val="007356EF"/>
    <w:rsid w:val="00736A3B"/>
    <w:rsid w:val="00737419"/>
    <w:rsid w:val="007378EB"/>
    <w:rsid w:val="00742BF6"/>
    <w:rsid w:val="00743A58"/>
    <w:rsid w:val="00744C6C"/>
    <w:rsid w:val="00745FB2"/>
    <w:rsid w:val="007469BF"/>
    <w:rsid w:val="007470C6"/>
    <w:rsid w:val="00747753"/>
    <w:rsid w:val="00747A5B"/>
    <w:rsid w:val="007501F2"/>
    <w:rsid w:val="0075134B"/>
    <w:rsid w:val="0075145D"/>
    <w:rsid w:val="00751E71"/>
    <w:rsid w:val="007534E6"/>
    <w:rsid w:val="00753D86"/>
    <w:rsid w:val="007562BE"/>
    <w:rsid w:val="00756A4A"/>
    <w:rsid w:val="0076005C"/>
    <w:rsid w:val="00760A6E"/>
    <w:rsid w:val="00761F02"/>
    <w:rsid w:val="00762BC9"/>
    <w:rsid w:val="00765381"/>
    <w:rsid w:val="00765B69"/>
    <w:rsid w:val="00766303"/>
    <w:rsid w:val="0076679C"/>
    <w:rsid w:val="00766E33"/>
    <w:rsid w:val="007678C6"/>
    <w:rsid w:val="00767D59"/>
    <w:rsid w:val="00770E6B"/>
    <w:rsid w:val="00772322"/>
    <w:rsid w:val="00773F50"/>
    <w:rsid w:val="00774B3F"/>
    <w:rsid w:val="00776E1F"/>
    <w:rsid w:val="007776AF"/>
    <w:rsid w:val="007802DA"/>
    <w:rsid w:val="00780CCC"/>
    <w:rsid w:val="00781C7E"/>
    <w:rsid w:val="007832B0"/>
    <w:rsid w:val="007833B1"/>
    <w:rsid w:val="007833F9"/>
    <w:rsid w:val="007835D9"/>
    <w:rsid w:val="00784619"/>
    <w:rsid w:val="0078504E"/>
    <w:rsid w:val="0078560E"/>
    <w:rsid w:val="00786CB8"/>
    <w:rsid w:val="00786F20"/>
    <w:rsid w:val="0079008A"/>
    <w:rsid w:val="007904CA"/>
    <w:rsid w:val="007909DB"/>
    <w:rsid w:val="00790C35"/>
    <w:rsid w:val="0079115A"/>
    <w:rsid w:val="007913F9"/>
    <w:rsid w:val="00791693"/>
    <w:rsid w:val="00793B7C"/>
    <w:rsid w:val="007945CF"/>
    <w:rsid w:val="00794777"/>
    <w:rsid w:val="00795134"/>
    <w:rsid w:val="00795B9B"/>
    <w:rsid w:val="00795C7D"/>
    <w:rsid w:val="00797C20"/>
    <w:rsid w:val="007A03F7"/>
    <w:rsid w:val="007A14A4"/>
    <w:rsid w:val="007A2EDB"/>
    <w:rsid w:val="007A3F9A"/>
    <w:rsid w:val="007A589C"/>
    <w:rsid w:val="007A5C98"/>
    <w:rsid w:val="007A66A5"/>
    <w:rsid w:val="007A69BD"/>
    <w:rsid w:val="007A6CE2"/>
    <w:rsid w:val="007A6D17"/>
    <w:rsid w:val="007A6F79"/>
    <w:rsid w:val="007A747D"/>
    <w:rsid w:val="007B012C"/>
    <w:rsid w:val="007B0201"/>
    <w:rsid w:val="007B1B0A"/>
    <w:rsid w:val="007B1FF2"/>
    <w:rsid w:val="007B4CA9"/>
    <w:rsid w:val="007B539A"/>
    <w:rsid w:val="007B5C2A"/>
    <w:rsid w:val="007B6CBF"/>
    <w:rsid w:val="007C0B57"/>
    <w:rsid w:val="007C1871"/>
    <w:rsid w:val="007C1CEE"/>
    <w:rsid w:val="007C1D18"/>
    <w:rsid w:val="007C229F"/>
    <w:rsid w:val="007C45AA"/>
    <w:rsid w:val="007C49C0"/>
    <w:rsid w:val="007C5958"/>
    <w:rsid w:val="007C605D"/>
    <w:rsid w:val="007C6A43"/>
    <w:rsid w:val="007C729E"/>
    <w:rsid w:val="007D3740"/>
    <w:rsid w:val="007D4737"/>
    <w:rsid w:val="007D4DFF"/>
    <w:rsid w:val="007D648E"/>
    <w:rsid w:val="007D64A8"/>
    <w:rsid w:val="007D6F12"/>
    <w:rsid w:val="007D6F77"/>
    <w:rsid w:val="007E0516"/>
    <w:rsid w:val="007E0A81"/>
    <w:rsid w:val="007E22DF"/>
    <w:rsid w:val="007E2C19"/>
    <w:rsid w:val="007E3B78"/>
    <w:rsid w:val="007E452A"/>
    <w:rsid w:val="007E65C6"/>
    <w:rsid w:val="007E68CD"/>
    <w:rsid w:val="007E7736"/>
    <w:rsid w:val="007F158D"/>
    <w:rsid w:val="007F2E51"/>
    <w:rsid w:val="007F3304"/>
    <w:rsid w:val="007F386F"/>
    <w:rsid w:val="007F4724"/>
    <w:rsid w:val="007F4C19"/>
    <w:rsid w:val="007F5207"/>
    <w:rsid w:val="007F7308"/>
    <w:rsid w:val="007F74A9"/>
    <w:rsid w:val="007F7A28"/>
    <w:rsid w:val="00800156"/>
    <w:rsid w:val="00800968"/>
    <w:rsid w:val="00800C06"/>
    <w:rsid w:val="0080112C"/>
    <w:rsid w:val="008013A6"/>
    <w:rsid w:val="00801DBA"/>
    <w:rsid w:val="00801FBF"/>
    <w:rsid w:val="0080241A"/>
    <w:rsid w:val="0080259F"/>
    <w:rsid w:val="008037FD"/>
    <w:rsid w:val="00804425"/>
    <w:rsid w:val="00805313"/>
    <w:rsid w:val="00805345"/>
    <w:rsid w:val="008055AD"/>
    <w:rsid w:val="00805C22"/>
    <w:rsid w:val="00805C8D"/>
    <w:rsid w:val="00805CEA"/>
    <w:rsid w:val="00806052"/>
    <w:rsid w:val="008069A0"/>
    <w:rsid w:val="00807D1A"/>
    <w:rsid w:val="00810EF7"/>
    <w:rsid w:val="00813329"/>
    <w:rsid w:val="00816199"/>
    <w:rsid w:val="008163CE"/>
    <w:rsid w:val="0081644A"/>
    <w:rsid w:val="00816C53"/>
    <w:rsid w:val="008175B2"/>
    <w:rsid w:val="00820491"/>
    <w:rsid w:val="00820A49"/>
    <w:rsid w:val="00820E6D"/>
    <w:rsid w:val="008212AA"/>
    <w:rsid w:val="00821E70"/>
    <w:rsid w:val="00822262"/>
    <w:rsid w:val="0082315C"/>
    <w:rsid w:val="00823919"/>
    <w:rsid w:val="00824578"/>
    <w:rsid w:val="00825082"/>
    <w:rsid w:val="0082563E"/>
    <w:rsid w:val="0082569D"/>
    <w:rsid w:val="00825D93"/>
    <w:rsid w:val="00825DB3"/>
    <w:rsid w:val="0083158F"/>
    <w:rsid w:val="008316C5"/>
    <w:rsid w:val="00834554"/>
    <w:rsid w:val="008347D5"/>
    <w:rsid w:val="0083484F"/>
    <w:rsid w:val="00836683"/>
    <w:rsid w:val="0083694A"/>
    <w:rsid w:val="00840535"/>
    <w:rsid w:val="00840B69"/>
    <w:rsid w:val="008433D4"/>
    <w:rsid w:val="00843724"/>
    <w:rsid w:val="008440D5"/>
    <w:rsid w:val="00844323"/>
    <w:rsid w:val="008445FC"/>
    <w:rsid w:val="00845055"/>
    <w:rsid w:val="00845ED5"/>
    <w:rsid w:val="00846A1D"/>
    <w:rsid w:val="008470CB"/>
    <w:rsid w:val="00847921"/>
    <w:rsid w:val="00850055"/>
    <w:rsid w:val="008501D3"/>
    <w:rsid w:val="00851D42"/>
    <w:rsid w:val="008522DA"/>
    <w:rsid w:val="008553C4"/>
    <w:rsid w:val="00855A58"/>
    <w:rsid w:val="00857370"/>
    <w:rsid w:val="0085773B"/>
    <w:rsid w:val="00857910"/>
    <w:rsid w:val="00857CE8"/>
    <w:rsid w:val="008601EE"/>
    <w:rsid w:val="008605AF"/>
    <w:rsid w:val="008606FC"/>
    <w:rsid w:val="00860F86"/>
    <w:rsid w:val="00861CE3"/>
    <w:rsid w:val="00861EAD"/>
    <w:rsid w:val="00862115"/>
    <w:rsid w:val="00862FF2"/>
    <w:rsid w:val="008635A4"/>
    <w:rsid w:val="00863B49"/>
    <w:rsid w:val="008645D5"/>
    <w:rsid w:val="0086543B"/>
    <w:rsid w:val="00865C10"/>
    <w:rsid w:val="00865DE9"/>
    <w:rsid w:val="008666C7"/>
    <w:rsid w:val="0086728A"/>
    <w:rsid w:val="00867B41"/>
    <w:rsid w:val="00870ACA"/>
    <w:rsid w:val="00871528"/>
    <w:rsid w:val="00871A88"/>
    <w:rsid w:val="008743A3"/>
    <w:rsid w:val="0087539D"/>
    <w:rsid w:val="0087554A"/>
    <w:rsid w:val="00875849"/>
    <w:rsid w:val="00876287"/>
    <w:rsid w:val="00876915"/>
    <w:rsid w:val="00876BB5"/>
    <w:rsid w:val="00877C70"/>
    <w:rsid w:val="00880D66"/>
    <w:rsid w:val="00881FA6"/>
    <w:rsid w:val="00882218"/>
    <w:rsid w:val="00882F27"/>
    <w:rsid w:val="00883358"/>
    <w:rsid w:val="008846CF"/>
    <w:rsid w:val="00884B20"/>
    <w:rsid w:val="008860CE"/>
    <w:rsid w:val="00887E5B"/>
    <w:rsid w:val="00890280"/>
    <w:rsid w:val="008909E7"/>
    <w:rsid w:val="008926D3"/>
    <w:rsid w:val="008934E3"/>
    <w:rsid w:val="00895A3A"/>
    <w:rsid w:val="00895C88"/>
    <w:rsid w:val="00897B86"/>
    <w:rsid w:val="00897C0A"/>
    <w:rsid w:val="008A3331"/>
    <w:rsid w:val="008A359F"/>
    <w:rsid w:val="008A3A03"/>
    <w:rsid w:val="008A402B"/>
    <w:rsid w:val="008A40FF"/>
    <w:rsid w:val="008A4244"/>
    <w:rsid w:val="008A431D"/>
    <w:rsid w:val="008A79A5"/>
    <w:rsid w:val="008B04A2"/>
    <w:rsid w:val="008B2A58"/>
    <w:rsid w:val="008B369E"/>
    <w:rsid w:val="008B3C00"/>
    <w:rsid w:val="008B3C9C"/>
    <w:rsid w:val="008B546C"/>
    <w:rsid w:val="008B619B"/>
    <w:rsid w:val="008B7311"/>
    <w:rsid w:val="008C4786"/>
    <w:rsid w:val="008C5779"/>
    <w:rsid w:val="008C720C"/>
    <w:rsid w:val="008D0EFD"/>
    <w:rsid w:val="008D1139"/>
    <w:rsid w:val="008D348F"/>
    <w:rsid w:val="008D3D06"/>
    <w:rsid w:val="008D49F9"/>
    <w:rsid w:val="008D4CFF"/>
    <w:rsid w:val="008D5855"/>
    <w:rsid w:val="008D65F2"/>
    <w:rsid w:val="008D6EBF"/>
    <w:rsid w:val="008E1C89"/>
    <w:rsid w:val="008E3D84"/>
    <w:rsid w:val="008E4771"/>
    <w:rsid w:val="008E50E1"/>
    <w:rsid w:val="008E519B"/>
    <w:rsid w:val="008E574E"/>
    <w:rsid w:val="008E5A8A"/>
    <w:rsid w:val="008E5DF6"/>
    <w:rsid w:val="008E63D4"/>
    <w:rsid w:val="008E645B"/>
    <w:rsid w:val="008E66D8"/>
    <w:rsid w:val="008E7BF7"/>
    <w:rsid w:val="008F0115"/>
    <w:rsid w:val="008F182D"/>
    <w:rsid w:val="008F1875"/>
    <w:rsid w:val="008F188B"/>
    <w:rsid w:val="008F3589"/>
    <w:rsid w:val="008F5F34"/>
    <w:rsid w:val="008F63D9"/>
    <w:rsid w:val="008F6437"/>
    <w:rsid w:val="008F6AA2"/>
    <w:rsid w:val="008F7137"/>
    <w:rsid w:val="0090025C"/>
    <w:rsid w:val="00900B17"/>
    <w:rsid w:val="00900E9D"/>
    <w:rsid w:val="009016BC"/>
    <w:rsid w:val="0090220A"/>
    <w:rsid w:val="009039C7"/>
    <w:rsid w:val="009040E8"/>
    <w:rsid w:val="0090452A"/>
    <w:rsid w:val="009048C5"/>
    <w:rsid w:val="00904E3C"/>
    <w:rsid w:val="009054FA"/>
    <w:rsid w:val="00905C7D"/>
    <w:rsid w:val="009069CD"/>
    <w:rsid w:val="00906E47"/>
    <w:rsid w:val="00906FC0"/>
    <w:rsid w:val="00910B18"/>
    <w:rsid w:val="00911B3E"/>
    <w:rsid w:val="00911F18"/>
    <w:rsid w:val="00912616"/>
    <w:rsid w:val="00912F12"/>
    <w:rsid w:val="009139A9"/>
    <w:rsid w:val="00913B4A"/>
    <w:rsid w:val="009144EC"/>
    <w:rsid w:val="00914D25"/>
    <w:rsid w:val="009151FA"/>
    <w:rsid w:val="00917471"/>
    <w:rsid w:val="00917CB4"/>
    <w:rsid w:val="0092117C"/>
    <w:rsid w:val="00922A66"/>
    <w:rsid w:val="0092389F"/>
    <w:rsid w:val="00924040"/>
    <w:rsid w:val="009247C5"/>
    <w:rsid w:val="00926DD4"/>
    <w:rsid w:val="00927E73"/>
    <w:rsid w:val="00931B74"/>
    <w:rsid w:val="00931D43"/>
    <w:rsid w:val="009326DE"/>
    <w:rsid w:val="009334BE"/>
    <w:rsid w:val="009338C8"/>
    <w:rsid w:val="0093487B"/>
    <w:rsid w:val="0093603B"/>
    <w:rsid w:val="0093732A"/>
    <w:rsid w:val="009375B9"/>
    <w:rsid w:val="00937922"/>
    <w:rsid w:val="00940E0C"/>
    <w:rsid w:val="00941578"/>
    <w:rsid w:val="009415F0"/>
    <w:rsid w:val="00942D23"/>
    <w:rsid w:val="00943BB1"/>
    <w:rsid w:val="009444E3"/>
    <w:rsid w:val="009462E6"/>
    <w:rsid w:val="009469FA"/>
    <w:rsid w:val="00946A90"/>
    <w:rsid w:val="00946C02"/>
    <w:rsid w:val="00946EDA"/>
    <w:rsid w:val="00947381"/>
    <w:rsid w:val="009478CC"/>
    <w:rsid w:val="00951146"/>
    <w:rsid w:val="00951D6C"/>
    <w:rsid w:val="00955A3B"/>
    <w:rsid w:val="00956D52"/>
    <w:rsid w:val="009572D4"/>
    <w:rsid w:val="0095757A"/>
    <w:rsid w:val="00957755"/>
    <w:rsid w:val="00957BCA"/>
    <w:rsid w:val="00957CDE"/>
    <w:rsid w:val="00960C02"/>
    <w:rsid w:val="0096287B"/>
    <w:rsid w:val="00966D96"/>
    <w:rsid w:val="009732B9"/>
    <w:rsid w:val="009734FB"/>
    <w:rsid w:val="0097385C"/>
    <w:rsid w:val="009738E1"/>
    <w:rsid w:val="00973A1E"/>
    <w:rsid w:val="00973DD0"/>
    <w:rsid w:val="00974430"/>
    <w:rsid w:val="00974C2B"/>
    <w:rsid w:val="00975874"/>
    <w:rsid w:val="00975894"/>
    <w:rsid w:val="00975C9A"/>
    <w:rsid w:val="009772D5"/>
    <w:rsid w:val="009772EC"/>
    <w:rsid w:val="00977D98"/>
    <w:rsid w:val="00980781"/>
    <w:rsid w:val="009817A1"/>
    <w:rsid w:val="00982D0F"/>
    <w:rsid w:val="00982E42"/>
    <w:rsid w:val="0098344A"/>
    <w:rsid w:val="0098350C"/>
    <w:rsid w:val="00983637"/>
    <w:rsid w:val="00983999"/>
    <w:rsid w:val="009841FE"/>
    <w:rsid w:val="009857F5"/>
    <w:rsid w:val="00985C17"/>
    <w:rsid w:val="009910F9"/>
    <w:rsid w:val="00991A81"/>
    <w:rsid w:val="00991AC8"/>
    <w:rsid w:val="009924B3"/>
    <w:rsid w:val="009933E6"/>
    <w:rsid w:val="0099422A"/>
    <w:rsid w:val="0099449C"/>
    <w:rsid w:val="00995B48"/>
    <w:rsid w:val="00995FE2"/>
    <w:rsid w:val="00996417"/>
    <w:rsid w:val="00996D93"/>
    <w:rsid w:val="009A20B2"/>
    <w:rsid w:val="009A2571"/>
    <w:rsid w:val="009A327E"/>
    <w:rsid w:val="009A456B"/>
    <w:rsid w:val="009A470D"/>
    <w:rsid w:val="009A75B6"/>
    <w:rsid w:val="009B084D"/>
    <w:rsid w:val="009B184E"/>
    <w:rsid w:val="009B1B7D"/>
    <w:rsid w:val="009B27A5"/>
    <w:rsid w:val="009B3A05"/>
    <w:rsid w:val="009B3DCF"/>
    <w:rsid w:val="009B3DFF"/>
    <w:rsid w:val="009B5E63"/>
    <w:rsid w:val="009B6982"/>
    <w:rsid w:val="009B7184"/>
    <w:rsid w:val="009B7953"/>
    <w:rsid w:val="009C01ED"/>
    <w:rsid w:val="009C02F5"/>
    <w:rsid w:val="009C17D0"/>
    <w:rsid w:val="009C2185"/>
    <w:rsid w:val="009C2ADB"/>
    <w:rsid w:val="009C2D3E"/>
    <w:rsid w:val="009C31F4"/>
    <w:rsid w:val="009C573F"/>
    <w:rsid w:val="009C5A2A"/>
    <w:rsid w:val="009D2F94"/>
    <w:rsid w:val="009D39AE"/>
    <w:rsid w:val="009D4448"/>
    <w:rsid w:val="009D4C72"/>
    <w:rsid w:val="009D4C8B"/>
    <w:rsid w:val="009D5877"/>
    <w:rsid w:val="009D7A56"/>
    <w:rsid w:val="009E0064"/>
    <w:rsid w:val="009E11FC"/>
    <w:rsid w:val="009E22FF"/>
    <w:rsid w:val="009E283B"/>
    <w:rsid w:val="009E2D81"/>
    <w:rsid w:val="009E3519"/>
    <w:rsid w:val="009E3579"/>
    <w:rsid w:val="009E4481"/>
    <w:rsid w:val="009E4694"/>
    <w:rsid w:val="009E5198"/>
    <w:rsid w:val="009E5701"/>
    <w:rsid w:val="009F0F16"/>
    <w:rsid w:val="009F1642"/>
    <w:rsid w:val="009F2BEB"/>
    <w:rsid w:val="009F31ED"/>
    <w:rsid w:val="009F529E"/>
    <w:rsid w:val="009F5FE2"/>
    <w:rsid w:val="009F65B0"/>
    <w:rsid w:val="00A004EA"/>
    <w:rsid w:val="00A018D2"/>
    <w:rsid w:val="00A01A2F"/>
    <w:rsid w:val="00A02078"/>
    <w:rsid w:val="00A0221A"/>
    <w:rsid w:val="00A04776"/>
    <w:rsid w:val="00A06829"/>
    <w:rsid w:val="00A07EAE"/>
    <w:rsid w:val="00A10990"/>
    <w:rsid w:val="00A10EC4"/>
    <w:rsid w:val="00A1100F"/>
    <w:rsid w:val="00A138E1"/>
    <w:rsid w:val="00A140C7"/>
    <w:rsid w:val="00A16345"/>
    <w:rsid w:val="00A165D9"/>
    <w:rsid w:val="00A176DA"/>
    <w:rsid w:val="00A17F2C"/>
    <w:rsid w:val="00A2211F"/>
    <w:rsid w:val="00A22B36"/>
    <w:rsid w:val="00A239B2"/>
    <w:rsid w:val="00A239B6"/>
    <w:rsid w:val="00A2402A"/>
    <w:rsid w:val="00A254D3"/>
    <w:rsid w:val="00A256EE"/>
    <w:rsid w:val="00A26CA8"/>
    <w:rsid w:val="00A27A17"/>
    <w:rsid w:val="00A30004"/>
    <w:rsid w:val="00A30923"/>
    <w:rsid w:val="00A323A3"/>
    <w:rsid w:val="00A32FEA"/>
    <w:rsid w:val="00A34016"/>
    <w:rsid w:val="00A356AF"/>
    <w:rsid w:val="00A3662A"/>
    <w:rsid w:val="00A36A32"/>
    <w:rsid w:val="00A37B10"/>
    <w:rsid w:val="00A4010D"/>
    <w:rsid w:val="00A4175D"/>
    <w:rsid w:val="00A42D23"/>
    <w:rsid w:val="00A44CEF"/>
    <w:rsid w:val="00A44E8C"/>
    <w:rsid w:val="00A4571C"/>
    <w:rsid w:val="00A45BCE"/>
    <w:rsid w:val="00A45DAB"/>
    <w:rsid w:val="00A47A2F"/>
    <w:rsid w:val="00A47ECC"/>
    <w:rsid w:val="00A502A3"/>
    <w:rsid w:val="00A502CB"/>
    <w:rsid w:val="00A5038B"/>
    <w:rsid w:val="00A50602"/>
    <w:rsid w:val="00A508FD"/>
    <w:rsid w:val="00A513E4"/>
    <w:rsid w:val="00A5151C"/>
    <w:rsid w:val="00A51FAC"/>
    <w:rsid w:val="00A5259C"/>
    <w:rsid w:val="00A5311E"/>
    <w:rsid w:val="00A534B4"/>
    <w:rsid w:val="00A551D9"/>
    <w:rsid w:val="00A57317"/>
    <w:rsid w:val="00A579D6"/>
    <w:rsid w:val="00A57F3B"/>
    <w:rsid w:val="00A616D8"/>
    <w:rsid w:val="00A641F8"/>
    <w:rsid w:val="00A64485"/>
    <w:rsid w:val="00A6575F"/>
    <w:rsid w:val="00A658A8"/>
    <w:rsid w:val="00A65C15"/>
    <w:rsid w:val="00A65E97"/>
    <w:rsid w:val="00A66EFF"/>
    <w:rsid w:val="00A67722"/>
    <w:rsid w:val="00A71DC6"/>
    <w:rsid w:val="00A74A1C"/>
    <w:rsid w:val="00A74F61"/>
    <w:rsid w:val="00A75FD5"/>
    <w:rsid w:val="00A75FDB"/>
    <w:rsid w:val="00A77268"/>
    <w:rsid w:val="00A77B1F"/>
    <w:rsid w:val="00A8027C"/>
    <w:rsid w:val="00A808AE"/>
    <w:rsid w:val="00A81F6C"/>
    <w:rsid w:val="00A81FD8"/>
    <w:rsid w:val="00A820FD"/>
    <w:rsid w:val="00A82E8A"/>
    <w:rsid w:val="00A8374C"/>
    <w:rsid w:val="00A859CF"/>
    <w:rsid w:val="00A862F0"/>
    <w:rsid w:val="00A86654"/>
    <w:rsid w:val="00A86D32"/>
    <w:rsid w:val="00A8713C"/>
    <w:rsid w:val="00A9179B"/>
    <w:rsid w:val="00A91ACE"/>
    <w:rsid w:val="00A934E1"/>
    <w:rsid w:val="00A940D8"/>
    <w:rsid w:val="00A94343"/>
    <w:rsid w:val="00A95195"/>
    <w:rsid w:val="00A95B3B"/>
    <w:rsid w:val="00A96122"/>
    <w:rsid w:val="00A96E43"/>
    <w:rsid w:val="00A96E7F"/>
    <w:rsid w:val="00A97F82"/>
    <w:rsid w:val="00AA0067"/>
    <w:rsid w:val="00AA0B74"/>
    <w:rsid w:val="00AA1308"/>
    <w:rsid w:val="00AA1A88"/>
    <w:rsid w:val="00AA598E"/>
    <w:rsid w:val="00AA5F2B"/>
    <w:rsid w:val="00AB12B3"/>
    <w:rsid w:val="00AB2490"/>
    <w:rsid w:val="00AB2541"/>
    <w:rsid w:val="00AB2A14"/>
    <w:rsid w:val="00AB34B0"/>
    <w:rsid w:val="00AB368D"/>
    <w:rsid w:val="00AB4495"/>
    <w:rsid w:val="00AB476D"/>
    <w:rsid w:val="00AB5D79"/>
    <w:rsid w:val="00AC0A0A"/>
    <w:rsid w:val="00AC0C47"/>
    <w:rsid w:val="00AC16AA"/>
    <w:rsid w:val="00AC192D"/>
    <w:rsid w:val="00AC44A9"/>
    <w:rsid w:val="00AC486E"/>
    <w:rsid w:val="00AC5879"/>
    <w:rsid w:val="00AC7208"/>
    <w:rsid w:val="00AC740C"/>
    <w:rsid w:val="00AC7EA1"/>
    <w:rsid w:val="00AD0222"/>
    <w:rsid w:val="00AD095C"/>
    <w:rsid w:val="00AD1006"/>
    <w:rsid w:val="00AD2735"/>
    <w:rsid w:val="00AD29E1"/>
    <w:rsid w:val="00AD2B39"/>
    <w:rsid w:val="00AD36DB"/>
    <w:rsid w:val="00AD4175"/>
    <w:rsid w:val="00AD5BF4"/>
    <w:rsid w:val="00AD65FB"/>
    <w:rsid w:val="00AD6B9B"/>
    <w:rsid w:val="00AD6EAE"/>
    <w:rsid w:val="00AD7029"/>
    <w:rsid w:val="00AD7042"/>
    <w:rsid w:val="00AD7A0F"/>
    <w:rsid w:val="00AE044D"/>
    <w:rsid w:val="00AE0510"/>
    <w:rsid w:val="00AE06AA"/>
    <w:rsid w:val="00AE0752"/>
    <w:rsid w:val="00AE0D4B"/>
    <w:rsid w:val="00AE1137"/>
    <w:rsid w:val="00AE19AA"/>
    <w:rsid w:val="00AE1DA2"/>
    <w:rsid w:val="00AE2065"/>
    <w:rsid w:val="00AE26A2"/>
    <w:rsid w:val="00AE2FC0"/>
    <w:rsid w:val="00AE4A17"/>
    <w:rsid w:val="00AE62C1"/>
    <w:rsid w:val="00AE6B11"/>
    <w:rsid w:val="00AE6CA7"/>
    <w:rsid w:val="00AE6D3F"/>
    <w:rsid w:val="00AE76FA"/>
    <w:rsid w:val="00AF09E2"/>
    <w:rsid w:val="00AF0B2B"/>
    <w:rsid w:val="00AF0F52"/>
    <w:rsid w:val="00AF469D"/>
    <w:rsid w:val="00AF5028"/>
    <w:rsid w:val="00AF5465"/>
    <w:rsid w:val="00AF58F3"/>
    <w:rsid w:val="00AF6785"/>
    <w:rsid w:val="00AF756D"/>
    <w:rsid w:val="00AF783B"/>
    <w:rsid w:val="00B00000"/>
    <w:rsid w:val="00B03956"/>
    <w:rsid w:val="00B04D97"/>
    <w:rsid w:val="00B0585F"/>
    <w:rsid w:val="00B05B0E"/>
    <w:rsid w:val="00B05ED1"/>
    <w:rsid w:val="00B05F20"/>
    <w:rsid w:val="00B07A82"/>
    <w:rsid w:val="00B1025C"/>
    <w:rsid w:val="00B10314"/>
    <w:rsid w:val="00B10721"/>
    <w:rsid w:val="00B107BE"/>
    <w:rsid w:val="00B108ED"/>
    <w:rsid w:val="00B1125D"/>
    <w:rsid w:val="00B11524"/>
    <w:rsid w:val="00B13484"/>
    <w:rsid w:val="00B1370B"/>
    <w:rsid w:val="00B13FF3"/>
    <w:rsid w:val="00B149C9"/>
    <w:rsid w:val="00B149E2"/>
    <w:rsid w:val="00B15636"/>
    <w:rsid w:val="00B2050D"/>
    <w:rsid w:val="00B2164F"/>
    <w:rsid w:val="00B21ECF"/>
    <w:rsid w:val="00B24AED"/>
    <w:rsid w:val="00B24FCD"/>
    <w:rsid w:val="00B27836"/>
    <w:rsid w:val="00B27ADD"/>
    <w:rsid w:val="00B30650"/>
    <w:rsid w:val="00B31754"/>
    <w:rsid w:val="00B31F22"/>
    <w:rsid w:val="00B320BF"/>
    <w:rsid w:val="00B349F8"/>
    <w:rsid w:val="00B3506C"/>
    <w:rsid w:val="00B36038"/>
    <w:rsid w:val="00B36543"/>
    <w:rsid w:val="00B36914"/>
    <w:rsid w:val="00B36CF2"/>
    <w:rsid w:val="00B36D08"/>
    <w:rsid w:val="00B377AD"/>
    <w:rsid w:val="00B41010"/>
    <w:rsid w:val="00B4128D"/>
    <w:rsid w:val="00B42577"/>
    <w:rsid w:val="00B43F28"/>
    <w:rsid w:val="00B4449D"/>
    <w:rsid w:val="00B452D2"/>
    <w:rsid w:val="00B4558E"/>
    <w:rsid w:val="00B45683"/>
    <w:rsid w:val="00B46C60"/>
    <w:rsid w:val="00B514C1"/>
    <w:rsid w:val="00B5152F"/>
    <w:rsid w:val="00B5197A"/>
    <w:rsid w:val="00B51D67"/>
    <w:rsid w:val="00B51EBA"/>
    <w:rsid w:val="00B520D7"/>
    <w:rsid w:val="00B53510"/>
    <w:rsid w:val="00B53745"/>
    <w:rsid w:val="00B546E5"/>
    <w:rsid w:val="00B54B65"/>
    <w:rsid w:val="00B54C67"/>
    <w:rsid w:val="00B54E70"/>
    <w:rsid w:val="00B56570"/>
    <w:rsid w:val="00B57035"/>
    <w:rsid w:val="00B577B2"/>
    <w:rsid w:val="00B579BD"/>
    <w:rsid w:val="00B6046F"/>
    <w:rsid w:val="00B60C42"/>
    <w:rsid w:val="00B60C9E"/>
    <w:rsid w:val="00B60DFC"/>
    <w:rsid w:val="00B611CB"/>
    <w:rsid w:val="00B62791"/>
    <w:rsid w:val="00B630BF"/>
    <w:rsid w:val="00B636B1"/>
    <w:rsid w:val="00B64AE1"/>
    <w:rsid w:val="00B65409"/>
    <w:rsid w:val="00B66EE4"/>
    <w:rsid w:val="00B704FB"/>
    <w:rsid w:val="00B7131A"/>
    <w:rsid w:val="00B718ED"/>
    <w:rsid w:val="00B722BD"/>
    <w:rsid w:val="00B72A53"/>
    <w:rsid w:val="00B72E16"/>
    <w:rsid w:val="00B73EED"/>
    <w:rsid w:val="00B7478D"/>
    <w:rsid w:val="00B754DB"/>
    <w:rsid w:val="00B75F0D"/>
    <w:rsid w:val="00B76037"/>
    <w:rsid w:val="00B76996"/>
    <w:rsid w:val="00B774C0"/>
    <w:rsid w:val="00B77D87"/>
    <w:rsid w:val="00B80339"/>
    <w:rsid w:val="00B81044"/>
    <w:rsid w:val="00B82B29"/>
    <w:rsid w:val="00B82B83"/>
    <w:rsid w:val="00B842E2"/>
    <w:rsid w:val="00B84FC1"/>
    <w:rsid w:val="00B853AB"/>
    <w:rsid w:val="00B861A4"/>
    <w:rsid w:val="00B861AA"/>
    <w:rsid w:val="00B866D7"/>
    <w:rsid w:val="00B86720"/>
    <w:rsid w:val="00B8674D"/>
    <w:rsid w:val="00B86992"/>
    <w:rsid w:val="00B9047B"/>
    <w:rsid w:val="00B91FFB"/>
    <w:rsid w:val="00B94853"/>
    <w:rsid w:val="00B9539F"/>
    <w:rsid w:val="00B954E7"/>
    <w:rsid w:val="00B9604C"/>
    <w:rsid w:val="00B9630B"/>
    <w:rsid w:val="00B96830"/>
    <w:rsid w:val="00B97062"/>
    <w:rsid w:val="00BA0590"/>
    <w:rsid w:val="00BA06C8"/>
    <w:rsid w:val="00BA0A4E"/>
    <w:rsid w:val="00BA0B67"/>
    <w:rsid w:val="00BA14FC"/>
    <w:rsid w:val="00BA17A3"/>
    <w:rsid w:val="00BA250C"/>
    <w:rsid w:val="00BA28C6"/>
    <w:rsid w:val="00BA336E"/>
    <w:rsid w:val="00BA3E6A"/>
    <w:rsid w:val="00BA4698"/>
    <w:rsid w:val="00BA5581"/>
    <w:rsid w:val="00BA59D3"/>
    <w:rsid w:val="00BA5FEE"/>
    <w:rsid w:val="00BA610E"/>
    <w:rsid w:val="00BA6C9D"/>
    <w:rsid w:val="00BA7AE5"/>
    <w:rsid w:val="00BB142E"/>
    <w:rsid w:val="00BB1F65"/>
    <w:rsid w:val="00BB39CB"/>
    <w:rsid w:val="00BB3DAB"/>
    <w:rsid w:val="00BB4B4B"/>
    <w:rsid w:val="00BB4B5B"/>
    <w:rsid w:val="00BC06C5"/>
    <w:rsid w:val="00BC2BB7"/>
    <w:rsid w:val="00BC458F"/>
    <w:rsid w:val="00BC476C"/>
    <w:rsid w:val="00BC7CC3"/>
    <w:rsid w:val="00BD0A24"/>
    <w:rsid w:val="00BD1ADA"/>
    <w:rsid w:val="00BD1DA5"/>
    <w:rsid w:val="00BD2DDB"/>
    <w:rsid w:val="00BD3D92"/>
    <w:rsid w:val="00BD493B"/>
    <w:rsid w:val="00BD4AC2"/>
    <w:rsid w:val="00BD4BB5"/>
    <w:rsid w:val="00BD4EF9"/>
    <w:rsid w:val="00BD5478"/>
    <w:rsid w:val="00BD54CB"/>
    <w:rsid w:val="00BD775B"/>
    <w:rsid w:val="00BD78E0"/>
    <w:rsid w:val="00BD79AA"/>
    <w:rsid w:val="00BE0A49"/>
    <w:rsid w:val="00BE460C"/>
    <w:rsid w:val="00BE4C74"/>
    <w:rsid w:val="00BE4D2A"/>
    <w:rsid w:val="00BE57F5"/>
    <w:rsid w:val="00BE66DD"/>
    <w:rsid w:val="00BE7709"/>
    <w:rsid w:val="00BF1F72"/>
    <w:rsid w:val="00BF3FDD"/>
    <w:rsid w:val="00BF41FF"/>
    <w:rsid w:val="00BF4521"/>
    <w:rsid w:val="00BF5369"/>
    <w:rsid w:val="00BF65DE"/>
    <w:rsid w:val="00BF66BA"/>
    <w:rsid w:val="00BF7670"/>
    <w:rsid w:val="00C002A7"/>
    <w:rsid w:val="00C002FF"/>
    <w:rsid w:val="00C007FC"/>
    <w:rsid w:val="00C00F8D"/>
    <w:rsid w:val="00C02467"/>
    <w:rsid w:val="00C03338"/>
    <w:rsid w:val="00C04920"/>
    <w:rsid w:val="00C04D40"/>
    <w:rsid w:val="00C05F17"/>
    <w:rsid w:val="00C05F81"/>
    <w:rsid w:val="00C060D1"/>
    <w:rsid w:val="00C0707D"/>
    <w:rsid w:val="00C10E74"/>
    <w:rsid w:val="00C11658"/>
    <w:rsid w:val="00C1248B"/>
    <w:rsid w:val="00C13F93"/>
    <w:rsid w:val="00C1437D"/>
    <w:rsid w:val="00C15CC8"/>
    <w:rsid w:val="00C162AA"/>
    <w:rsid w:val="00C16B7E"/>
    <w:rsid w:val="00C17D59"/>
    <w:rsid w:val="00C20E45"/>
    <w:rsid w:val="00C20F22"/>
    <w:rsid w:val="00C21474"/>
    <w:rsid w:val="00C2450B"/>
    <w:rsid w:val="00C2476B"/>
    <w:rsid w:val="00C253B4"/>
    <w:rsid w:val="00C26018"/>
    <w:rsid w:val="00C27496"/>
    <w:rsid w:val="00C31C1E"/>
    <w:rsid w:val="00C31C38"/>
    <w:rsid w:val="00C33B58"/>
    <w:rsid w:val="00C343B1"/>
    <w:rsid w:val="00C35E93"/>
    <w:rsid w:val="00C36C88"/>
    <w:rsid w:val="00C36D2D"/>
    <w:rsid w:val="00C36D37"/>
    <w:rsid w:val="00C372F7"/>
    <w:rsid w:val="00C3770F"/>
    <w:rsid w:val="00C37E73"/>
    <w:rsid w:val="00C40DC6"/>
    <w:rsid w:val="00C41ED3"/>
    <w:rsid w:val="00C4278B"/>
    <w:rsid w:val="00C432FF"/>
    <w:rsid w:val="00C43BFF"/>
    <w:rsid w:val="00C440CC"/>
    <w:rsid w:val="00C45807"/>
    <w:rsid w:val="00C46758"/>
    <w:rsid w:val="00C46901"/>
    <w:rsid w:val="00C46B23"/>
    <w:rsid w:val="00C47305"/>
    <w:rsid w:val="00C5089B"/>
    <w:rsid w:val="00C50A98"/>
    <w:rsid w:val="00C51232"/>
    <w:rsid w:val="00C51393"/>
    <w:rsid w:val="00C51D9F"/>
    <w:rsid w:val="00C544B3"/>
    <w:rsid w:val="00C55C46"/>
    <w:rsid w:val="00C5612A"/>
    <w:rsid w:val="00C56C33"/>
    <w:rsid w:val="00C57595"/>
    <w:rsid w:val="00C603CA"/>
    <w:rsid w:val="00C6068E"/>
    <w:rsid w:val="00C60D1F"/>
    <w:rsid w:val="00C61110"/>
    <w:rsid w:val="00C62724"/>
    <w:rsid w:val="00C62973"/>
    <w:rsid w:val="00C63149"/>
    <w:rsid w:val="00C6443F"/>
    <w:rsid w:val="00C646DB"/>
    <w:rsid w:val="00C64D00"/>
    <w:rsid w:val="00C6587F"/>
    <w:rsid w:val="00C65A04"/>
    <w:rsid w:val="00C65DAE"/>
    <w:rsid w:val="00C6601F"/>
    <w:rsid w:val="00C672A5"/>
    <w:rsid w:val="00C67565"/>
    <w:rsid w:val="00C700D7"/>
    <w:rsid w:val="00C70A0D"/>
    <w:rsid w:val="00C714F9"/>
    <w:rsid w:val="00C71619"/>
    <w:rsid w:val="00C72108"/>
    <w:rsid w:val="00C72A02"/>
    <w:rsid w:val="00C72A42"/>
    <w:rsid w:val="00C72CC3"/>
    <w:rsid w:val="00C7347B"/>
    <w:rsid w:val="00C73732"/>
    <w:rsid w:val="00C73879"/>
    <w:rsid w:val="00C74916"/>
    <w:rsid w:val="00C75501"/>
    <w:rsid w:val="00C7758D"/>
    <w:rsid w:val="00C779F1"/>
    <w:rsid w:val="00C8098D"/>
    <w:rsid w:val="00C812D9"/>
    <w:rsid w:val="00C8158A"/>
    <w:rsid w:val="00C81C7A"/>
    <w:rsid w:val="00C84EAF"/>
    <w:rsid w:val="00C8587E"/>
    <w:rsid w:val="00C87478"/>
    <w:rsid w:val="00C877E3"/>
    <w:rsid w:val="00C9058C"/>
    <w:rsid w:val="00C9147E"/>
    <w:rsid w:val="00C91FE5"/>
    <w:rsid w:val="00C92E46"/>
    <w:rsid w:val="00C93FD5"/>
    <w:rsid w:val="00C956FF"/>
    <w:rsid w:val="00CA0685"/>
    <w:rsid w:val="00CA07C9"/>
    <w:rsid w:val="00CA0D29"/>
    <w:rsid w:val="00CA423D"/>
    <w:rsid w:val="00CB0ECA"/>
    <w:rsid w:val="00CB1C8A"/>
    <w:rsid w:val="00CB2D66"/>
    <w:rsid w:val="00CB30E6"/>
    <w:rsid w:val="00CB3EF5"/>
    <w:rsid w:val="00CB3F3E"/>
    <w:rsid w:val="00CB4C0D"/>
    <w:rsid w:val="00CB68C8"/>
    <w:rsid w:val="00CC09D5"/>
    <w:rsid w:val="00CC35DF"/>
    <w:rsid w:val="00CC4588"/>
    <w:rsid w:val="00CC5E39"/>
    <w:rsid w:val="00CC794F"/>
    <w:rsid w:val="00CD05BC"/>
    <w:rsid w:val="00CD074E"/>
    <w:rsid w:val="00CD27DA"/>
    <w:rsid w:val="00CD28A0"/>
    <w:rsid w:val="00CD5167"/>
    <w:rsid w:val="00CD5FE4"/>
    <w:rsid w:val="00CD6B26"/>
    <w:rsid w:val="00CD6BAB"/>
    <w:rsid w:val="00CD74FB"/>
    <w:rsid w:val="00CD7F74"/>
    <w:rsid w:val="00CE04D5"/>
    <w:rsid w:val="00CE057B"/>
    <w:rsid w:val="00CE07C4"/>
    <w:rsid w:val="00CE0F7F"/>
    <w:rsid w:val="00CE2134"/>
    <w:rsid w:val="00CE5DD9"/>
    <w:rsid w:val="00CE70B8"/>
    <w:rsid w:val="00CE7C22"/>
    <w:rsid w:val="00CF3D88"/>
    <w:rsid w:val="00CF444A"/>
    <w:rsid w:val="00CF4E0C"/>
    <w:rsid w:val="00CF58EF"/>
    <w:rsid w:val="00CF5A91"/>
    <w:rsid w:val="00CF663A"/>
    <w:rsid w:val="00D00196"/>
    <w:rsid w:val="00D01C12"/>
    <w:rsid w:val="00D03339"/>
    <w:rsid w:val="00D04A7E"/>
    <w:rsid w:val="00D050B6"/>
    <w:rsid w:val="00D0640E"/>
    <w:rsid w:val="00D078C8"/>
    <w:rsid w:val="00D11039"/>
    <w:rsid w:val="00D127AB"/>
    <w:rsid w:val="00D139E3"/>
    <w:rsid w:val="00D13B22"/>
    <w:rsid w:val="00D15405"/>
    <w:rsid w:val="00D17297"/>
    <w:rsid w:val="00D21008"/>
    <w:rsid w:val="00D21619"/>
    <w:rsid w:val="00D231BE"/>
    <w:rsid w:val="00D2358A"/>
    <w:rsid w:val="00D258C0"/>
    <w:rsid w:val="00D25BD1"/>
    <w:rsid w:val="00D26039"/>
    <w:rsid w:val="00D260CD"/>
    <w:rsid w:val="00D263C0"/>
    <w:rsid w:val="00D265CE"/>
    <w:rsid w:val="00D2762D"/>
    <w:rsid w:val="00D30356"/>
    <w:rsid w:val="00D31E6A"/>
    <w:rsid w:val="00D32572"/>
    <w:rsid w:val="00D353D8"/>
    <w:rsid w:val="00D35C8A"/>
    <w:rsid w:val="00D374B6"/>
    <w:rsid w:val="00D37C1B"/>
    <w:rsid w:val="00D4115A"/>
    <w:rsid w:val="00D413F4"/>
    <w:rsid w:val="00D44E8C"/>
    <w:rsid w:val="00D45809"/>
    <w:rsid w:val="00D45E75"/>
    <w:rsid w:val="00D46416"/>
    <w:rsid w:val="00D464E7"/>
    <w:rsid w:val="00D4669D"/>
    <w:rsid w:val="00D46B8D"/>
    <w:rsid w:val="00D47618"/>
    <w:rsid w:val="00D47A1D"/>
    <w:rsid w:val="00D47A78"/>
    <w:rsid w:val="00D50074"/>
    <w:rsid w:val="00D5082D"/>
    <w:rsid w:val="00D51CC1"/>
    <w:rsid w:val="00D53131"/>
    <w:rsid w:val="00D5427A"/>
    <w:rsid w:val="00D545A5"/>
    <w:rsid w:val="00D553AB"/>
    <w:rsid w:val="00D56D39"/>
    <w:rsid w:val="00D60138"/>
    <w:rsid w:val="00D60D5E"/>
    <w:rsid w:val="00D61D3A"/>
    <w:rsid w:val="00D6393E"/>
    <w:rsid w:val="00D64078"/>
    <w:rsid w:val="00D6487D"/>
    <w:rsid w:val="00D6571C"/>
    <w:rsid w:val="00D66ABE"/>
    <w:rsid w:val="00D66BF1"/>
    <w:rsid w:val="00D67838"/>
    <w:rsid w:val="00D679A1"/>
    <w:rsid w:val="00D7123E"/>
    <w:rsid w:val="00D71946"/>
    <w:rsid w:val="00D7232D"/>
    <w:rsid w:val="00D73122"/>
    <w:rsid w:val="00D738D0"/>
    <w:rsid w:val="00D74461"/>
    <w:rsid w:val="00D745A6"/>
    <w:rsid w:val="00D75151"/>
    <w:rsid w:val="00D753D8"/>
    <w:rsid w:val="00D77DA2"/>
    <w:rsid w:val="00D8090F"/>
    <w:rsid w:val="00D811CA"/>
    <w:rsid w:val="00D81462"/>
    <w:rsid w:val="00D81588"/>
    <w:rsid w:val="00D82BC4"/>
    <w:rsid w:val="00D83790"/>
    <w:rsid w:val="00D848A0"/>
    <w:rsid w:val="00D85193"/>
    <w:rsid w:val="00D8697F"/>
    <w:rsid w:val="00D87E80"/>
    <w:rsid w:val="00D90690"/>
    <w:rsid w:val="00D90F70"/>
    <w:rsid w:val="00D90F96"/>
    <w:rsid w:val="00D9190F"/>
    <w:rsid w:val="00D94E88"/>
    <w:rsid w:val="00D95003"/>
    <w:rsid w:val="00D96330"/>
    <w:rsid w:val="00DA1967"/>
    <w:rsid w:val="00DA1A9B"/>
    <w:rsid w:val="00DA2187"/>
    <w:rsid w:val="00DA378A"/>
    <w:rsid w:val="00DA60E6"/>
    <w:rsid w:val="00DA64F4"/>
    <w:rsid w:val="00DA6A01"/>
    <w:rsid w:val="00DA6FC1"/>
    <w:rsid w:val="00DA7493"/>
    <w:rsid w:val="00DA75EC"/>
    <w:rsid w:val="00DA77DF"/>
    <w:rsid w:val="00DA7A4E"/>
    <w:rsid w:val="00DB00B1"/>
    <w:rsid w:val="00DB0BCD"/>
    <w:rsid w:val="00DB1627"/>
    <w:rsid w:val="00DB245C"/>
    <w:rsid w:val="00DB3133"/>
    <w:rsid w:val="00DB434D"/>
    <w:rsid w:val="00DB77F0"/>
    <w:rsid w:val="00DC04D7"/>
    <w:rsid w:val="00DC2019"/>
    <w:rsid w:val="00DC2226"/>
    <w:rsid w:val="00DC248C"/>
    <w:rsid w:val="00DC28EB"/>
    <w:rsid w:val="00DC3645"/>
    <w:rsid w:val="00DC5586"/>
    <w:rsid w:val="00DC66DD"/>
    <w:rsid w:val="00DC689C"/>
    <w:rsid w:val="00DC6B79"/>
    <w:rsid w:val="00DC7716"/>
    <w:rsid w:val="00DD2846"/>
    <w:rsid w:val="00DD3188"/>
    <w:rsid w:val="00DD4117"/>
    <w:rsid w:val="00DD47A6"/>
    <w:rsid w:val="00DD4CD4"/>
    <w:rsid w:val="00DD4D14"/>
    <w:rsid w:val="00DD5418"/>
    <w:rsid w:val="00DD54F2"/>
    <w:rsid w:val="00DD5D4D"/>
    <w:rsid w:val="00DE0127"/>
    <w:rsid w:val="00DE0E69"/>
    <w:rsid w:val="00DE3D47"/>
    <w:rsid w:val="00DE5DBB"/>
    <w:rsid w:val="00DE60BB"/>
    <w:rsid w:val="00DE6211"/>
    <w:rsid w:val="00DE6CBB"/>
    <w:rsid w:val="00DE767D"/>
    <w:rsid w:val="00DF14F3"/>
    <w:rsid w:val="00DF3835"/>
    <w:rsid w:val="00DF3C11"/>
    <w:rsid w:val="00DF460F"/>
    <w:rsid w:val="00E02F81"/>
    <w:rsid w:val="00E042B6"/>
    <w:rsid w:val="00E04390"/>
    <w:rsid w:val="00E0507D"/>
    <w:rsid w:val="00E05A2B"/>
    <w:rsid w:val="00E05D9D"/>
    <w:rsid w:val="00E068C7"/>
    <w:rsid w:val="00E07085"/>
    <w:rsid w:val="00E07D30"/>
    <w:rsid w:val="00E12131"/>
    <w:rsid w:val="00E12ABD"/>
    <w:rsid w:val="00E13CEE"/>
    <w:rsid w:val="00E15B50"/>
    <w:rsid w:val="00E16A82"/>
    <w:rsid w:val="00E16B80"/>
    <w:rsid w:val="00E20B28"/>
    <w:rsid w:val="00E20E4F"/>
    <w:rsid w:val="00E236E9"/>
    <w:rsid w:val="00E24FE7"/>
    <w:rsid w:val="00E2565B"/>
    <w:rsid w:val="00E26129"/>
    <w:rsid w:val="00E26BBA"/>
    <w:rsid w:val="00E27CD0"/>
    <w:rsid w:val="00E312DB"/>
    <w:rsid w:val="00E32244"/>
    <w:rsid w:val="00E33C44"/>
    <w:rsid w:val="00E36264"/>
    <w:rsid w:val="00E36A30"/>
    <w:rsid w:val="00E36CEC"/>
    <w:rsid w:val="00E37CDD"/>
    <w:rsid w:val="00E40953"/>
    <w:rsid w:val="00E4102C"/>
    <w:rsid w:val="00E41F89"/>
    <w:rsid w:val="00E424CA"/>
    <w:rsid w:val="00E42772"/>
    <w:rsid w:val="00E450EA"/>
    <w:rsid w:val="00E4516B"/>
    <w:rsid w:val="00E4589D"/>
    <w:rsid w:val="00E467B0"/>
    <w:rsid w:val="00E468EC"/>
    <w:rsid w:val="00E51342"/>
    <w:rsid w:val="00E5182C"/>
    <w:rsid w:val="00E51CB9"/>
    <w:rsid w:val="00E545F1"/>
    <w:rsid w:val="00E5467B"/>
    <w:rsid w:val="00E55A7B"/>
    <w:rsid w:val="00E63079"/>
    <w:rsid w:val="00E63B85"/>
    <w:rsid w:val="00E63C03"/>
    <w:rsid w:val="00E6530B"/>
    <w:rsid w:val="00E6545D"/>
    <w:rsid w:val="00E657A2"/>
    <w:rsid w:val="00E663B6"/>
    <w:rsid w:val="00E665A6"/>
    <w:rsid w:val="00E70AA6"/>
    <w:rsid w:val="00E70B08"/>
    <w:rsid w:val="00E70E36"/>
    <w:rsid w:val="00E732E8"/>
    <w:rsid w:val="00E732F2"/>
    <w:rsid w:val="00E73312"/>
    <w:rsid w:val="00E73C35"/>
    <w:rsid w:val="00E73EC5"/>
    <w:rsid w:val="00E76434"/>
    <w:rsid w:val="00E771EB"/>
    <w:rsid w:val="00E8012A"/>
    <w:rsid w:val="00E80389"/>
    <w:rsid w:val="00E805B6"/>
    <w:rsid w:val="00E80ECB"/>
    <w:rsid w:val="00E81F07"/>
    <w:rsid w:val="00E84D29"/>
    <w:rsid w:val="00E85A4D"/>
    <w:rsid w:val="00E86117"/>
    <w:rsid w:val="00E8765C"/>
    <w:rsid w:val="00E877E0"/>
    <w:rsid w:val="00E90610"/>
    <w:rsid w:val="00E92A76"/>
    <w:rsid w:val="00E93242"/>
    <w:rsid w:val="00E93CED"/>
    <w:rsid w:val="00E95228"/>
    <w:rsid w:val="00E955A0"/>
    <w:rsid w:val="00EA19F1"/>
    <w:rsid w:val="00EA22B1"/>
    <w:rsid w:val="00EA319F"/>
    <w:rsid w:val="00EA4C53"/>
    <w:rsid w:val="00EA5ABD"/>
    <w:rsid w:val="00EA6186"/>
    <w:rsid w:val="00EA632C"/>
    <w:rsid w:val="00EB2184"/>
    <w:rsid w:val="00EB3E73"/>
    <w:rsid w:val="00EB5D8C"/>
    <w:rsid w:val="00EB6BD9"/>
    <w:rsid w:val="00EB7667"/>
    <w:rsid w:val="00EB794D"/>
    <w:rsid w:val="00EB7DAE"/>
    <w:rsid w:val="00EC13F6"/>
    <w:rsid w:val="00EC2FA6"/>
    <w:rsid w:val="00EC3621"/>
    <w:rsid w:val="00EC3BD3"/>
    <w:rsid w:val="00EC49F1"/>
    <w:rsid w:val="00EC4AAC"/>
    <w:rsid w:val="00EC6D56"/>
    <w:rsid w:val="00ED0504"/>
    <w:rsid w:val="00ED0EA3"/>
    <w:rsid w:val="00ED19F4"/>
    <w:rsid w:val="00ED1CC7"/>
    <w:rsid w:val="00ED2454"/>
    <w:rsid w:val="00ED27E9"/>
    <w:rsid w:val="00ED3B61"/>
    <w:rsid w:val="00ED6BDD"/>
    <w:rsid w:val="00ED76DF"/>
    <w:rsid w:val="00ED7FE2"/>
    <w:rsid w:val="00EE0B72"/>
    <w:rsid w:val="00EE1197"/>
    <w:rsid w:val="00EE1A1F"/>
    <w:rsid w:val="00EE2691"/>
    <w:rsid w:val="00EE296D"/>
    <w:rsid w:val="00EE39F2"/>
    <w:rsid w:val="00EE3D9B"/>
    <w:rsid w:val="00EE5186"/>
    <w:rsid w:val="00EF0404"/>
    <w:rsid w:val="00EF082C"/>
    <w:rsid w:val="00EF13BB"/>
    <w:rsid w:val="00EF1F59"/>
    <w:rsid w:val="00EF2FF2"/>
    <w:rsid w:val="00EF318B"/>
    <w:rsid w:val="00EF353C"/>
    <w:rsid w:val="00EF3787"/>
    <w:rsid w:val="00EF5D8E"/>
    <w:rsid w:val="00EF6562"/>
    <w:rsid w:val="00F001C6"/>
    <w:rsid w:val="00F02523"/>
    <w:rsid w:val="00F032E1"/>
    <w:rsid w:val="00F044F3"/>
    <w:rsid w:val="00F052DC"/>
    <w:rsid w:val="00F0731A"/>
    <w:rsid w:val="00F078F4"/>
    <w:rsid w:val="00F102A3"/>
    <w:rsid w:val="00F119EC"/>
    <w:rsid w:val="00F11F09"/>
    <w:rsid w:val="00F11F6D"/>
    <w:rsid w:val="00F12F5D"/>
    <w:rsid w:val="00F14F65"/>
    <w:rsid w:val="00F15344"/>
    <w:rsid w:val="00F1536B"/>
    <w:rsid w:val="00F158F4"/>
    <w:rsid w:val="00F15D84"/>
    <w:rsid w:val="00F16868"/>
    <w:rsid w:val="00F20234"/>
    <w:rsid w:val="00F2039B"/>
    <w:rsid w:val="00F20915"/>
    <w:rsid w:val="00F20921"/>
    <w:rsid w:val="00F210A5"/>
    <w:rsid w:val="00F22C10"/>
    <w:rsid w:val="00F2388B"/>
    <w:rsid w:val="00F25EBB"/>
    <w:rsid w:val="00F26184"/>
    <w:rsid w:val="00F27663"/>
    <w:rsid w:val="00F27E5E"/>
    <w:rsid w:val="00F30066"/>
    <w:rsid w:val="00F3169F"/>
    <w:rsid w:val="00F3358C"/>
    <w:rsid w:val="00F35B6B"/>
    <w:rsid w:val="00F37F93"/>
    <w:rsid w:val="00F404F8"/>
    <w:rsid w:val="00F416DC"/>
    <w:rsid w:val="00F41E89"/>
    <w:rsid w:val="00F42130"/>
    <w:rsid w:val="00F422F9"/>
    <w:rsid w:val="00F423AA"/>
    <w:rsid w:val="00F42A7B"/>
    <w:rsid w:val="00F43802"/>
    <w:rsid w:val="00F450AF"/>
    <w:rsid w:val="00F463EC"/>
    <w:rsid w:val="00F505C8"/>
    <w:rsid w:val="00F50743"/>
    <w:rsid w:val="00F508A5"/>
    <w:rsid w:val="00F50D9F"/>
    <w:rsid w:val="00F50F72"/>
    <w:rsid w:val="00F51CF5"/>
    <w:rsid w:val="00F52CB5"/>
    <w:rsid w:val="00F53B49"/>
    <w:rsid w:val="00F569F2"/>
    <w:rsid w:val="00F60E5A"/>
    <w:rsid w:val="00F63BC9"/>
    <w:rsid w:val="00F63E44"/>
    <w:rsid w:val="00F64818"/>
    <w:rsid w:val="00F6487A"/>
    <w:rsid w:val="00F649BE"/>
    <w:rsid w:val="00F64BCB"/>
    <w:rsid w:val="00F64FD3"/>
    <w:rsid w:val="00F65840"/>
    <w:rsid w:val="00F65E60"/>
    <w:rsid w:val="00F66F5B"/>
    <w:rsid w:val="00F67F2C"/>
    <w:rsid w:val="00F70B64"/>
    <w:rsid w:val="00F70DC8"/>
    <w:rsid w:val="00F7348D"/>
    <w:rsid w:val="00F73A6A"/>
    <w:rsid w:val="00F73EE7"/>
    <w:rsid w:val="00F7727E"/>
    <w:rsid w:val="00F8039D"/>
    <w:rsid w:val="00F80429"/>
    <w:rsid w:val="00F81193"/>
    <w:rsid w:val="00F82A0B"/>
    <w:rsid w:val="00F84984"/>
    <w:rsid w:val="00F84A70"/>
    <w:rsid w:val="00F86CC4"/>
    <w:rsid w:val="00F87B42"/>
    <w:rsid w:val="00F94491"/>
    <w:rsid w:val="00F97533"/>
    <w:rsid w:val="00FA34B0"/>
    <w:rsid w:val="00FA3E09"/>
    <w:rsid w:val="00FA46B5"/>
    <w:rsid w:val="00FA4969"/>
    <w:rsid w:val="00FA4DEC"/>
    <w:rsid w:val="00FB07FF"/>
    <w:rsid w:val="00FB1A7E"/>
    <w:rsid w:val="00FB1CA9"/>
    <w:rsid w:val="00FB1D4D"/>
    <w:rsid w:val="00FB21F6"/>
    <w:rsid w:val="00FB36F8"/>
    <w:rsid w:val="00FB3B55"/>
    <w:rsid w:val="00FB3B59"/>
    <w:rsid w:val="00FB3FD5"/>
    <w:rsid w:val="00FB4135"/>
    <w:rsid w:val="00FB4DD6"/>
    <w:rsid w:val="00FB55EA"/>
    <w:rsid w:val="00FB5794"/>
    <w:rsid w:val="00FB5F6C"/>
    <w:rsid w:val="00FB6C43"/>
    <w:rsid w:val="00FB715F"/>
    <w:rsid w:val="00FC04CC"/>
    <w:rsid w:val="00FC1652"/>
    <w:rsid w:val="00FC1A70"/>
    <w:rsid w:val="00FC1B1C"/>
    <w:rsid w:val="00FC3316"/>
    <w:rsid w:val="00FC35B0"/>
    <w:rsid w:val="00FC3DBF"/>
    <w:rsid w:val="00FC3E84"/>
    <w:rsid w:val="00FC4126"/>
    <w:rsid w:val="00FC4A34"/>
    <w:rsid w:val="00FC54FF"/>
    <w:rsid w:val="00FC737E"/>
    <w:rsid w:val="00FC7676"/>
    <w:rsid w:val="00FC777A"/>
    <w:rsid w:val="00FD0773"/>
    <w:rsid w:val="00FD1301"/>
    <w:rsid w:val="00FD1601"/>
    <w:rsid w:val="00FD1968"/>
    <w:rsid w:val="00FD1B10"/>
    <w:rsid w:val="00FD231C"/>
    <w:rsid w:val="00FD2DE4"/>
    <w:rsid w:val="00FD4644"/>
    <w:rsid w:val="00FD46F8"/>
    <w:rsid w:val="00FD4FE1"/>
    <w:rsid w:val="00FD558C"/>
    <w:rsid w:val="00FD5958"/>
    <w:rsid w:val="00FE079D"/>
    <w:rsid w:val="00FE1809"/>
    <w:rsid w:val="00FE25CD"/>
    <w:rsid w:val="00FE2FCB"/>
    <w:rsid w:val="00FE4279"/>
    <w:rsid w:val="00FE54E2"/>
    <w:rsid w:val="00FE5B34"/>
    <w:rsid w:val="00FE6375"/>
    <w:rsid w:val="00FF0436"/>
    <w:rsid w:val="00FF0E0C"/>
    <w:rsid w:val="00FF1D51"/>
    <w:rsid w:val="00FF28C6"/>
    <w:rsid w:val="00FF4535"/>
    <w:rsid w:val="00FF508F"/>
    <w:rsid w:val="00FF5460"/>
    <w:rsid w:val="00FF55FE"/>
    <w:rsid w:val="00FF5C27"/>
    <w:rsid w:val="00FF6E25"/>
    <w:rsid w:val="00FF713B"/>
    <w:rsid w:val="00FF739E"/>
    <w:rsid w:val="2148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C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semiHidden="1" w:unhideWhenUsed="1"/>
    <w:lsdException w:name="footnote text" w:qFormat="1"/>
    <w:lsdException w:name="annotation text" w:semiHidden="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jc w:val="center"/>
      <w:outlineLvl w:val="0"/>
    </w:pPr>
    <w:rPr>
      <w:rFonts w:eastAsia="黑体"/>
      <w:b/>
      <w:bCs/>
      <w:kern w:val="44"/>
      <w:sz w:val="32"/>
      <w:szCs w:val="44"/>
    </w:rPr>
  </w:style>
  <w:style w:type="paragraph" w:styleId="2">
    <w:name w:val="heading 2"/>
    <w:basedOn w:val="a"/>
    <w:next w:val="a"/>
    <w:link w:val="2Char"/>
    <w:qFormat/>
    <w:pPr>
      <w:keepNext/>
      <w:keepLines/>
      <w:spacing w:before="260" w:after="260"/>
      <w:outlineLvl w:val="1"/>
    </w:pPr>
    <w:rPr>
      <w:rFonts w:ascii="Arial" w:eastAsia="黑体" w:hAnsi="Arial"/>
      <w:b/>
      <w:bCs/>
      <w:sz w:val="28"/>
      <w:szCs w:val="32"/>
    </w:rPr>
  </w:style>
  <w:style w:type="paragraph" w:styleId="3">
    <w:name w:val="heading 3"/>
    <w:basedOn w:val="a"/>
    <w:next w:val="a"/>
    <w:qFormat/>
    <w:pPr>
      <w:keepNext/>
      <w:keepLines/>
      <w:spacing w:before="260" w:after="260" w:line="416"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nhideWhenUsed/>
    <w:qFormat/>
    <w:pPr>
      <w:ind w:left="1260"/>
      <w:jc w:val="left"/>
    </w:pPr>
    <w:rPr>
      <w:rFonts w:asciiTheme="minorHAnsi" w:hAnsiTheme="minorHAnsi" w:cstheme="minorHAnsi"/>
      <w:sz w:val="18"/>
      <w:szCs w:val="18"/>
    </w:rPr>
  </w:style>
  <w:style w:type="paragraph" w:styleId="a3">
    <w:name w:val="Document Map"/>
    <w:basedOn w:val="a"/>
    <w:semiHidden/>
    <w:pPr>
      <w:shd w:val="clear" w:color="auto" w:fill="000080"/>
    </w:pPr>
  </w:style>
  <w:style w:type="paragraph" w:styleId="a4">
    <w:name w:val="annotation text"/>
    <w:basedOn w:val="a"/>
    <w:link w:val="Char"/>
    <w:semiHidden/>
    <w:pPr>
      <w:jc w:val="left"/>
    </w:pPr>
  </w:style>
  <w:style w:type="paragraph" w:styleId="a5">
    <w:name w:val="Body Text"/>
    <w:basedOn w:val="a"/>
    <w:next w:val="a"/>
    <w:link w:val="Char0"/>
    <w:uiPriority w:val="99"/>
    <w:qFormat/>
    <w:pPr>
      <w:spacing w:after="120"/>
    </w:pPr>
    <w:rPr>
      <w:sz w:val="24"/>
    </w:rPr>
  </w:style>
  <w:style w:type="paragraph" w:styleId="5">
    <w:name w:val="toc 5"/>
    <w:basedOn w:val="a"/>
    <w:next w:val="a"/>
    <w:unhideWhenUsed/>
    <w:qFormat/>
    <w:pPr>
      <w:ind w:left="840"/>
      <w:jc w:val="left"/>
    </w:pPr>
    <w:rPr>
      <w:rFonts w:asciiTheme="minorHAnsi" w:hAnsiTheme="minorHAnsi" w:cstheme="minorHAnsi"/>
      <w:sz w:val="18"/>
      <w:szCs w:val="18"/>
    </w:rPr>
  </w:style>
  <w:style w:type="paragraph" w:styleId="30">
    <w:name w:val="toc 3"/>
    <w:basedOn w:val="a"/>
    <w:next w:val="a"/>
    <w:uiPriority w:val="39"/>
    <w:unhideWhenUsed/>
    <w:qFormat/>
    <w:pPr>
      <w:ind w:left="420"/>
      <w:jc w:val="left"/>
    </w:pPr>
    <w:rPr>
      <w:rFonts w:asciiTheme="minorHAnsi" w:hAnsiTheme="minorHAnsi" w:cstheme="minorHAnsi"/>
      <w:i/>
      <w:iCs/>
      <w:sz w:val="20"/>
      <w:szCs w:val="20"/>
    </w:rPr>
  </w:style>
  <w:style w:type="paragraph" w:styleId="a6">
    <w:name w:val="Plain Text"/>
    <w:basedOn w:val="a"/>
    <w:link w:val="Char1"/>
    <w:pPr>
      <w:adjustRightInd w:val="0"/>
      <w:textAlignment w:val="baseline"/>
    </w:pPr>
    <w:rPr>
      <w:rFonts w:ascii="宋体" w:hAnsi="Courier New"/>
      <w:kern w:val="0"/>
      <w:sz w:val="20"/>
      <w:szCs w:val="20"/>
    </w:rPr>
  </w:style>
  <w:style w:type="paragraph" w:styleId="8">
    <w:name w:val="toc 8"/>
    <w:basedOn w:val="a"/>
    <w:next w:val="a"/>
    <w:unhideWhenUsed/>
    <w:qFormat/>
    <w:pPr>
      <w:ind w:left="1470"/>
      <w:jc w:val="left"/>
    </w:pPr>
    <w:rPr>
      <w:rFonts w:asciiTheme="minorHAnsi" w:hAnsiTheme="minorHAnsi" w:cstheme="minorHAnsi"/>
      <w:sz w:val="18"/>
      <w:szCs w:val="18"/>
    </w:rPr>
  </w:style>
  <w:style w:type="paragraph" w:styleId="a7">
    <w:name w:val="Balloon Text"/>
    <w:basedOn w:val="a"/>
    <w:semiHidden/>
    <w:qFormat/>
    <w:rPr>
      <w:sz w:val="18"/>
      <w:szCs w:val="18"/>
    </w:rPr>
  </w:style>
  <w:style w:type="paragraph" w:styleId="a8">
    <w:name w:val="footer"/>
    <w:basedOn w:val="a"/>
    <w:link w:val="Char2"/>
    <w:uiPriority w:val="99"/>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360" w:lineRule="auto"/>
      <w:jc w:val="left"/>
    </w:pPr>
    <w:rPr>
      <w:rFonts w:asciiTheme="minorEastAsia" w:eastAsiaTheme="minorEastAsia" w:hAnsiTheme="minorEastAsia" w:cstheme="minorHAnsi"/>
      <w:b/>
      <w:bCs/>
      <w:caps/>
      <w:kern w:val="44"/>
      <w:sz w:val="24"/>
      <w:szCs w:val="20"/>
    </w:rPr>
  </w:style>
  <w:style w:type="paragraph" w:styleId="4">
    <w:name w:val="toc 4"/>
    <w:basedOn w:val="a"/>
    <w:next w:val="a"/>
    <w:unhideWhenUsed/>
    <w:qFormat/>
    <w:pPr>
      <w:ind w:left="630"/>
      <w:jc w:val="left"/>
    </w:pPr>
    <w:rPr>
      <w:rFonts w:asciiTheme="minorHAnsi" w:hAnsiTheme="minorHAnsi" w:cstheme="minorHAnsi"/>
      <w:sz w:val="18"/>
      <w:szCs w:val="18"/>
    </w:rPr>
  </w:style>
  <w:style w:type="paragraph" w:styleId="aa">
    <w:name w:val="footnote text"/>
    <w:basedOn w:val="a"/>
    <w:link w:val="Char4"/>
    <w:qFormat/>
    <w:pPr>
      <w:snapToGrid w:val="0"/>
      <w:jc w:val="left"/>
    </w:pPr>
    <w:rPr>
      <w:kern w:val="0"/>
      <w:sz w:val="18"/>
      <w:szCs w:val="18"/>
    </w:rPr>
  </w:style>
  <w:style w:type="paragraph" w:styleId="6">
    <w:name w:val="toc 6"/>
    <w:basedOn w:val="a"/>
    <w:next w:val="a"/>
    <w:unhideWhenUsed/>
    <w:qFormat/>
    <w:pPr>
      <w:ind w:left="1050"/>
      <w:jc w:val="left"/>
    </w:pPr>
    <w:rPr>
      <w:rFonts w:asciiTheme="minorHAnsi" w:hAnsiTheme="minorHAnsi" w:cstheme="minorHAnsi"/>
      <w:sz w:val="18"/>
      <w:szCs w:val="18"/>
    </w:rPr>
  </w:style>
  <w:style w:type="paragraph" w:styleId="20">
    <w:name w:val="toc 2"/>
    <w:basedOn w:val="a"/>
    <w:next w:val="a"/>
    <w:uiPriority w:val="39"/>
    <w:qFormat/>
    <w:pPr>
      <w:tabs>
        <w:tab w:val="right" w:leader="dot" w:pos="8296"/>
      </w:tabs>
      <w:spacing w:line="360" w:lineRule="auto"/>
      <w:ind w:left="210"/>
      <w:jc w:val="left"/>
    </w:pPr>
    <w:rPr>
      <w:rFonts w:ascii="宋体" w:hAnsi="宋体" w:cstheme="minorHAnsi"/>
      <w:smallCaps/>
      <w:sz w:val="24"/>
      <w:szCs w:val="20"/>
    </w:rPr>
  </w:style>
  <w:style w:type="paragraph" w:styleId="9">
    <w:name w:val="toc 9"/>
    <w:basedOn w:val="a"/>
    <w:next w:val="a"/>
    <w:unhideWhenUsed/>
    <w:qFormat/>
    <w:pPr>
      <w:ind w:left="1680"/>
      <w:jc w:val="left"/>
    </w:pPr>
    <w:rPr>
      <w:rFonts w:asciiTheme="minorHAnsi" w:hAnsiTheme="minorHAnsi" w:cstheme="minorHAnsi"/>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5"/>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Hyperlink"/>
    <w:uiPriority w:val="99"/>
    <w:rPr>
      <w:color w:val="0000FF"/>
      <w:u w:val="single"/>
    </w:rPr>
  </w:style>
  <w:style w:type="character" w:styleId="af0">
    <w:name w:val="annotation reference"/>
    <w:semiHidden/>
    <w:rPr>
      <w:sz w:val="21"/>
      <w:szCs w:val="21"/>
    </w:rPr>
  </w:style>
  <w:style w:type="character" w:styleId="af1">
    <w:name w:val="footnote reference"/>
    <w:uiPriority w:val="99"/>
    <w:qFormat/>
    <w:rPr>
      <w:vertAlign w:val="superscript"/>
    </w:rPr>
  </w:style>
  <w:style w:type="character" w:customStyle="1" w:styleId="2Char">
    <w:name w:val="标题 2 Char"/>
    <w:link w:val="2"/>
    <w:qFormat/>
    <w:rPr>
      <w:rFonts w:ascii="Arial" w:eastAsia="黑体" w:hAnsi="Arial"/>
      <w:b/>
      <w:bCs/>
      <w:kern w:val="2"/>
      <w:sz w:val="28"/>
      <w:szCs w:val="32"/>
    </w:rPr>
  </w:style>
  <w:style w:type="character" w:customStyle="1" w:styleId="Char">
    <w:name w:val="批注文字 Char"/>
    <w:link w:val="a4"/>
    <w:semiHidden/>
    <w:qFormat/>
    <w:locked/>
    <w:rPr>
      <w:rFonts w:eastAsia="宋体"/>
      <w:kern w:val="2"/>
      <w:sz w:val="21"/>
      <w:szCs w:val="24"/>
      <w:lang w:val="en-US" w:eastAsia="zh-CN" w:bidi="ar-SA"/>
    </w:rPr>
  </w:style>
  <w:style w:type="character" w:customStyle="1" w:styleId="Char3">
    <w:name w:val="页眉 Char"/>
    <w:link w:val="a9"/>
    <w:uiPriority w:val="99"/>
    <w:rPr>
      <w:rFonts w:eastAsia="宋体"/>
      <w:kern w:val="2"/>
      <w:sz w:val="18"/>
      <w:szCs w:val="18"/>
      <w:lang w:val="en-US" w:eastAsia="zh-CN" w:bidi="ar-SA"/>
    </w:rPr>
  </w:style>
  <w:style w:type="character" w:customStyle="1" w:styleId="eee">
    <w:name w:val="eee"/>
    <w:qFormat/>
    <w:rPr>
      <w:rFonts w:cs="Times New Roman"/>
    </w:rPr>
  </w:style>
  <w:style w:type="paragraph" w:customStyle="1" w:styleId="11">
    <w:name w:val="列出段落1"/>
    <w:basedOn w:val="a"/>
    <w:qFormat/>
    <w:pPr>
      <w:ind w:firstLineChars="200" w:firstLine="420"/>
    </w:pPr>
    <w:rPr>
      <w:rFonts w:ascii="Calibri" w:hAnsi="Calibri"/>
      <w:szCs w:val="22"/>
    </w:rPr>
  </w:style>
  <w:style w:type="character" w:customStyle="1" w:styleId="Char2">
    <w:name w:val="页脚 Char"/>
    <w:link w:val="a8"/>
    <w:uiPriority w:val="99"/>
    <w:rPr>
      <w:kern w:val="2"/>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6">
    <w:name w:val="纯文本 Char"/>
    <w:qFormat/>
    <w:rPr>
      <w:rFonts w:ascii="宋体" w:hAnsi="Courier New" w:cs="Courier New"/>
      <w:kern w:val="2"/>
      <w:sz w:val="21"/>
      <w:szCs w:val="21"/>
    </w:rPr>
  </w:style>
  <w:style w:type="character" w:customStyle="1" w:styleId="Char1">
    <w:name w:val="纯文本 Char1"/>
    <w:link w:val="a6"/>
    <w:qFormat/>
    <w:rPr>
      <w:rFonts w:ascii="宋体" w:hAnsi="Courier New"/>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ParaChar">
    <w:name w:val="默认段落字体 Para Char"/>
    <w:basedOn w:val="a"/>
    <w:qFormat/>
    <w:rPr>
      <w:szCs w:val="20"/>
    </w:rPr>
  </w:style>
  <w:style w:type="character" w:customStyle="1" w:styleId="Char0">
    <w:name w:val="正文文本 Char"/>
    <w:link w:val="a5"/>
    <w:uiPriority w:val="99"/>
    <w:qFormat/>
    <w:rPr>
      <w:kern w:val="2"/>
      <w:sz w:val="24"/>
      <w:szCs w:val="24"/>
    </w:rPr>
  </w:style>
  <w:style w:type="paragraph" w:styleId="af2">
    <w:name w:val="List Paragraph"/>
    <w:basedOn w:val="a"/>
    <w:uiPriority w:val="34"/>
    <w:qFormat/>
    <w:pPr>
      <w:widowControl/>
      <w:ind w:firstLineChars="200" w:firstLine="420"/>
    </w:pPr>
    <w:rPr>
      <w:rFonts w:ascii="Calibri" w:hAnsi="Calibri" w:cs="宋体"/>
      <w:kern w:val="0"/>
      <w:szCs w:val="21"/>
    </w:rPr>
  </w:style>
  <w:style w:type="character" w:customStyle="1" w:styleId="Char5">
    <w:name w:val="批注主题 Char"/>
    <w:link w:val="ac"/>
    <w:qFormat/>
    <w:rPr>
      <w:rFonts w:eastAsia="宋体"/>
      <w:b/>
      <w:bCs/>
      <w:kern w:val="2"/>
      <w:sz w:val="21"/>
      <w:szCs w:val="24"/>
      <w:lang w:val="en-US" w:eastAsia="zh-CN" w:bidi="ar-SA"/>
    </w:rPr>
  </w:style>
  <w:style w:type="character" w:customStyle="1" w:styleId="1Char">
    <w:name w:val="标题 1 Char"/>
    <w:basedOn w:val="a0"/>
    <w:link w:val="1"/>
    <w:qFormat/>
    <w:rPr>
      <w:rFonts w:eastAsia="黑体"/>
      <w:b/>
      <w:bCs/>
      <w:kern w:val="44"/>
      <w:sz w:val="32"/>
      <w:szCs w:val="44"/>
    </w:rPr>
  </w:style>
  <w:style w:type="character" w:customStyle="1" w:styleId="Char4">
    <w:name w:val="脚注文本 Char"/>
    <w:basedOn w:val="a0"/>
    <w:link w:val="aa"/>
    <w:qFormat/>
    <w:rPr>
      <w:sz w:val="18"/>
      <w:szCs w:val="18"/>
    </w:rPr>
  </w:style>
  <w:style w:type="paragraph" w:customStyle="1" w:styleId="12">
    <w:name w:val="修订1"/>
    <w:hidden/>
    <w:uiPriority w:val="99"/>
    <w:semiHidden/>
    <w:qFormat/>
    <w:rPr>
      <w:kern w:val="2"/>
      <w:sz w:val="21"/>
      <w:szCs w:val="24"/>
    </w:rPr>
  </w:style>
  <w:style w:type="paragraph" w:customStyle="1" w:styleId="05">
    <w:name w:val="05正文"/>
    <w:basedOn w:val="a"/>
    <w:link w:val="05Char"/>
    <w:qFormat/>
    <w:pPr>
      <w:spacing w:line="360" w:lineRule="auto"/>
      <w:ind w:firstLineChars="200" w:firstLine="200"/>
    </w:pPr>
    <w:rPr>
      <w:rFonts w:ascii="宋体" w:hAnsi="宋体"/>
      <w:kern w:val="0"/>
      <w:sz w:val="24"/>
    </w:rPr>
  </w:style>
  <w:style w:type="character" w:customStyle="1" w:styleId="05Char">
    <w:name w:val="05正文 Char"/>
    <w:link w:val="05"/>
    <w:qFormat/>
    <w:rPr>
      <w:rFonts w:ascii="宋体" w:hAnsi="宋体"/>
      <w:sz w:val="24"/>
      <w:szCs w:val="24"/>
    </w:rPr>
  </w:style>
  <w:style w:type="paragraph" w:styleId="af3">
    <w:name w:val="Revision"/>
    <w:hidden/>
    <w:uiPriority w:val="99"/>
    <w:semiHidden/>
    <w:rsid w:val="0052022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semiHidden="1" w:unhideWhenUsed="1"/>
    <w:lsdException w:name="footnote text" w:qFormat="1"/>
    <w:lsdException w:name="annotation text" w:semiHidden="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jc w:val="center"/>
      <w:outlineLvl w:val="0"/>
    </w:pPr>
    <w:rPr>
      <w:rFonts w:eastAsia="黑体"/>
      <w:b/>
      <w:bCs/>
      <w:kern w:val="44"/>
      <w:sz w:val="32"/>
      <w:szCs w:val="44"/>
    </w:rPr>
  </w:style>
  <w:style w:type="paragraph" w:styleId="2">
    <w:name w:val="heading 2"/>
    <w:basedOn w:val="a"/>
    <w:next w:val="a"/>
    <w:link w:val="2Char"/>
    <w:qFormat/>
    <w:pPr>
      <w:keepNext/>
      <w:keepLines/>
      <w:spacing w:before="260" w:after="260"/>
      <w:outlineLvl w:val="1"/>
    </w:pPr>
    <w:rPr>
      <w:rFonts w:ascii="Arial" w:eastAsia="黑体" w:hAnsi="Arial"/>
      <w:b/>
      <w:bCs/>
      <w:sz w:val="28"/>
      <w:szCs w:val="32"/>
    </w:rPr>
  </w:style>
  <w:style w:type="paragraph" w:styleId="3">
    <w:name w:val="heading 3"/>
    <w:basedOn w:val="a"/>
    <w:next w:val="a"/>
    <w:qFormat/>
    <w:pPr>
      <w:keepNext/>
      <w:keepLines/>
      <w:spacing w:before="260" w:after="260" w:line="416"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nhideWhenUsed/>
    <w:qFormat/>
    <w:pPr>
      <w:ind w:left="1260"/>
      <w:jc w:val="left"/>
    </w:pPr>
    <w:rPr>
      <w:rFonts w:asciiTheme="minorHAnsi" w:hAnsiTheme="minorHAnsi" w:cstheme="minorHAnsi"/>
      <w:sz w:val="18"/>
      <w:szCs w:val="18"/>
    </w:rPr>
  </w:style>
  <w:style w:type="paragraph" w:styleId="a3">
    <w:name w:val="Document Map"/>
    <w:basedOn w:val="a"/>
    <w:semiHidden/>
    <w:pPr>
      <w:shd w:val="clear" w:color="auto" w:fill="000080"/>
    </w:pPr>
  </w:style>
  <w:style w:type="paragraph" w:styleId="a4">
    <w:name w:val="annotation text"/>
    <w:basedOn w:val="a"/>
    <w:link w:val="Char"/>
    <w:semiHidden/>
    <w:pPr>
      <w:jc w:val="left"/>
    </w:pPr>
  </w:style>
  <w:style w:type="paragraph" w:styleId="a5">
    <w:name w:val="Body Text"/>
    <w:basedOn w:val="a"/>
    <w:next w:val="a"/>
    <w:link w:val="Char0"/>
    <w:uiPriority w:val="99"/>
    <w:qFormat/>
    <w:pPr>
      <w:spacing w:after="120"/>
    </w:pPr>
    <w:rPr>
      <w:sz w:val="24"/>
    </w:rPr>
  </w:style>
  <w:style w:type="paragraph" w:styleId="5">
    <w:name w:val="toc 5"/>
    <w:basedOn w:val="a"/>
    <w:next w:val="a"/>
    <w:unhideWhenUsed/>
    <w:qFormat/>
    <w:pPr>
      <w:ind w:left="840"/>
      <w:jc w:val="left"/>
    </w:pPr>
    <w:rPr>
      <w:rFonts w:asciiTheme="minorHAnsi" w:hAnsiTheme="minorHAnsi" w:cstheme="minorHAnsi"/>
      <w:sz w:val="18"/>
      <w:szCs w:val="18"/>
    </w:rPr>
  </w:style>
  <w:style w:type="paragraph" w:styleId="30">
    <w:name w:val="toc 3"/>
    <w:basedOn w:val="a"/>
    <w:next w:val="a"/>
    <w:uiPriority w:val="39"/>
    <w:unhideWhenUsed/>
    <w:qFormat/>
    <w:pPr>
      <w:ind w:left="420"/>
      <w:jc w:val="left"/>
    </w:pPr>
    <w:rPr>
      <w:rFonts w:asciiTheme="minorHAnsi" w:hAnsiTheme="minorHAnsi" w:cstheme="minorHAnsi"/>
      <w:i/>
      <w:iCs/>
      <w:sz w:val="20"/>
      <w:szCs w:val="20"/>
    </w:rPr>
  </w:style>
  <w:style w:type="paragraph" w:styleId="a6">
    <w:name w:val="Plain Text"/>
    <w:basedOn w:val="a"/>
    <w:link w:val="Char1"/>
    <w:pPr>
      <w:adjustRightInd w:val="0"/>
      <w:textAlignment w:val="baseline"/>
    </w:pPr>
    <w:rPr>
      <w:rFonts w:ascii="宋体" w:hAnsi="Courier New"/>
      <w:kern w:val="0"/>
      <w:sz w:val="20"/>
      <w:szCs w:val="20"/>
    </w:rPr>
  </w:style>
  <w:style w:type="paragraph" w:styleId="8">
    <w:name w:val="toc 8"/>
    <w:basedOn w:val="a"/>
    <w:next w:val="a"/>
    <w:unhideWhenUsed/>
    <w:qFormat/>
    <w:pPr>
      <w:ind w:left="1470"/>
      <w:jc w:val="left"/>
    </w:pPr>
    <w:rPr>
      <w:rFonts w:asciiTheme="minorHAnsi" w:hAnsiTheme="minorHAnsi" w:cstheme="minorHAnsi"/>
      <w:sz w:val="18"/>
      <w:szCs w:val="18"/>
    </w:rPr>
  </w:style>
  <w:style w:type="paragraph" w:styleId="a7">
    <w:name w:val="Balloon Text"/>
    <w:basedOn w:val="a"/>
    <w:semiHidden/>
    <w:qFormat/>
    <w:rPr>
      <w:sz w:val="18"/>
      <w:szCs w:val="18"/>
    </w:rPr>
  </w:style>
  <w:style w:type="paragraph" w:styleId="a8">
    <w:name w:val="footer"/>
    <w:basedOn w:val="a"/>
    <w:link w:val="Char2"/>
    <w:uiPriority w:val="99"/>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360" w:lineRule="auto"/>
      <w:jc w:val="left"/>
    </w:pPr>
    <w:rPr>
      <w:rFonts w:asciiTheme="minorEastAsia" w:eastAsiaTheme="minorEastAsia" w:hAnsiTheme="minorEastAsia" w:cstheme="minorHAnsi"/>
      <w:b/>
      <w:bCs/>
      <w:caps/>
      <w:kern w:val="44"/>
      <w:sz w:val="24"/>
      <w:szCs w:val="20"/>
    </w:rPr>
  </w:style>
  <w:style w:type="paragraph" w:styleId="4">
    <w:name w:val="toc 4"/>
    <w:basedOn w:val="a"/>
    <w:next w:val="a"/>
    <w:unhideWhenUsed/>
    <w:qFormat/>
    <w:pPr>
      <w:ind w:left="630"/>
      <w:jc w:val="left"/>
    </w:pPr>
    <w:rPr>
      <w:rFonts w:asciiTheme="minorHAnsi" w:hAnsiTheme="minorHAnsi" w:cstheme="minorHAnsi"/>
      <w:sz w:val="18"/>
      <w:szCs w:val="18"/>
    </w:rPr>
  </w:style>
  <w:style w:type="paragraph" w:styleId="aa">
    <w:name w:val="footnote text"/>
    <w:basedOn w:val="a"/>
    <w:link w:val="Char4"/>
    <w:qFormat/>
    <w:pPr>
      <w:snapToGrid w:val="0"/>
      <w:jc w:val="left"/>
    </w:pPr>
    <w:rPr>
      <w:kern w:val="0"/>
      <w:sz w:val="18"/>
      <w:szCs w:val="18"/>
    </w:rPr>
  </w:style>
  <w:style w:type="paragraph" w:styleId="6">
    <w:name w:val="toc 6"/>
    <w:basedOn w:val="a"/>
    <w:next w:val="a"/>
    <w:unhideWhenUsed/>
    <w:qFormat/>
    <w:pPr>
      <w:ind w:left="1050"/>
      <w:jc w:val="left"/>
    </w:pPr>
    <w:rPr>
      <w:rFonts w:asciiTheme="minorHAnsi" w:hAnsiTheme="minorHAnsi" w:cstheme="minorHAnsi"/>
      <w:sz w:val="18"/>
      <w:szCs w:val="18"/>
    </w:rPr>
  </w:style>
  <w:style w:type="paragraph" w:styleId="20">
    <w:name w:val="toc 2"/>
    <w:basedOn w:val="a"/>
    <w:next w:val="a"/>
    <w:uiPriority w:val="39"/>
    <w:qFormat/>
    <w:pPr>
      <w:tabs>
        <w:tab w:val="right" w:leader="dot" w:pos="8296"/>
      </w:tabs>
      <w:spacing w:line="360" w:lineRule="auto"/>
      <w:ind w:left="210"/>
      <w:jc w:val="left"/>
    </w:pPr>
    <w:rPr>
      <w:rFonts w:ascii="宋体" w:hAnsi="宋体" w:cstheme="minorHAnsi"/>
      <w:smallCaps/>
      <w:sz w:val="24"/>
      <w:szCs w:val="20"/>
    </w:rPr>
  </w:style>
  <w:style w:type="paragraph" w:styleId="9">
    <w:name w:val="toc 9"/>
    <w:basedOn w:val="a"/>
    <w:next w:val="a"/>
    <w:unhideWhenUsed/>
    <w:qFormat/>
    <w:pPr>
      <w:ind w:left="1680"/>
      <w:jc w:val="left"/>
    </w:pPr>
    <w:rPr>
      <w:rFonts w:asciiTheme="minorHAnsi" w:hAnsiTheme="minorHAnsi" w:cstheme="minorHAnsi"/>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5"/>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Hyperlink"/>
    <w:uiPriority w:val="99"/>
    <w:rPr>
      <w:color w:val="0000FF"/>
      <w:u w:val="single"/>
    </w:rPr>
  </w:style>
  <w:style w:type="character" w:styleId="af0">
    <w:name w:val="annotation reference"/>
    <w:semiHidden/>
    <w:rPr>
      <w:sz w:val="21"/>
      <w:szCs w:val="21"/>
    </w:rPr>
  </w:style>
  <w:style w:type="character" w:styleId="af1">
    <w:name w:val="footnote reference"/>
    <w:uiPriority w:val="99"/>
    <w:qFormat/>
    <w:rPr>
      <w:vertAlign w:val="superscript"/>
    </w:rPr>
  </w:style>
  <w:style w:type="character" w:customStyle="1" w:styleId="2Char">
    <w:name w:val="标题 2 Char"/>
    <w:link w:val="2"/>
    <w:qFormat/>
    <w:rPr>
      <w:rFonts w:ascii="Arial" w:eastAsia="黑体" w:hAnsi="Arial"/>
      <w:b/>
      <w:bCs/>
      <w:kern w:val="2"/>
      <w:sz w:val="28"/>
      <w:szCs w:val="32"/>
    </w:rPr>
  </w:style>
  <w:style w:type="character" w:customStyle="1" w:styleId="Char">
    <w:name w:val="批注文字 Char"/>
    <w:link w:val="a4"/>
    <w:semiHidden/>
    <w:qFormat/>
    <w:locked/>
    <w:rPr>
      <w:rFonts w:eastAsia="宋体"/>
      <w:kern w:val="2"/>
      <w:sz w:val="21"/>
      <w:szCs w:val="24"/>
      <w:lang w:val="en-US" w:eastAsia="zh-CN" w:bidi="ar-SA"/>
    </w:rPr>
  </w:style>
  <w:style w:type="character" w:customStyle="1" w:styleId="Char3">
    <w:name w:val="页眉 Char"/>
    <w:link w:val="a9"/>
    <w:uiPriority w:val="99"/>
    <w:rPr>
      <w:rFonts w:eastAsia="宋体"/>
      <w:kern w:val="2"/>
      <w:sz w:val="18"/>
      <w:szCs w:val="18"/>
      <w:lang w:val="en-US" w:eastAsia="zh-CN" w:bidi="ar-SA"/>
    </w:rPr>
  </w:style>
  <w:style w:type="character" w:customStyle="1" w:styleId="eee">
    <w:name w:val="eee"/>
    <w:qFormat/>
    <w:rPr>
      <w:rFonts w:cs="Times New Roman"/>
    </w:rPr>
  </w:style>
  <w:style w:type="paragraph" w:customStyle="1" w:styleId="11">
    <w:name w:val="列出段落1"/>
    <w:basedOn w:val="a"/>
    <w:qFormat/>
    <w:pPr>
      <w:ind w:firstLineChars="200" w:firstLine="420"/>
    </w:pPr>
    <w:rPr>
      <w:rFonts w:ascii="Calibri" w:hAnsi="Calibri"/>
      <w:szCs w:val="22"/>
    </w:rPr>
  </w:style>
  <w:style w:type="character" w:customStyle="1" w:styleId="Char2">
    <w:name w:val="页脚 Char"/>
    <w:link w:val="a8"/>
    <w:uiPriority w:val="99"/>
    <w:rPr>
      <w:kern w:val="2"/>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6">
    <w:name w:val="纯文本 Char"/>
    <w:qFormat/>
    <w:rPr>
      <w:rFonts w:ascii="宋体" w:hAnsi="Courier New" w:cs="Courier New"/>
      <w:kern w:val="2"/>
      <w:sz w:val="21"/>
      <w:szCs w:val="21"/>
    </w:rPr>
  </w:style>
  <w:style w:type="character" w:customStyle="1" w:styleId="Char1">
    <w:name w:val="纯文本 Char1"/>
    <w:link w:val="a6"/>
    <w:qFormat/>
    <w:rPr>
      <w:rFonts w:ascii="宋体" w:hAnsi="Courier New"/>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ParaChar">
    <w:name w:val="默认段落字体 Para Char"/>
    <w:basedOn w:val="a"/>
    <w:qFormat/>
    <w:rPr>
      <w:szCs w:val="20"/>
    </w:rPr>
  </w:style>
  <w:style w:type="character" w:customStyle="1" w:styleId="Char0">
    <w:name w:val="正文文本 Char"/>
    <w:link w:val="a5"/>
    <w:uiPriority w:val="99"/>
    <w:qFormat/>
    <w:rPr>
      <w:kern w:val="2"/>
      <w:sz w:val="24"/>
      <w:szCs w:val="24"/>
    </w:rPr>
  </w:style>
  <w:style w:type="paragraph" w:styleId="af2">
    <w:name w:val="List Paragraph"/>
    <w:basedOn w:val="a"/>
    <w:uiPriority w:val="34"/>
    <w:qFormat/>
    <w:pPr>
      <w:widowControl/>
      <w:ind w:firstLineChars="200" w:firstLine="420"/>
    </w:pPr>
    <w:rPr>
      <w:rFonts w:ascii="Calibri" w:hAnsi="Calibri" w:cs="宋体"/>
      <w:kern w:val="0"/>
      <w:szCs w:val="21"/>
    </w:rPr>
  </w:style>
  <w:style w:type="character" w:customStyle="1" w:styleId="Char5">
    <w:name w:val="批注主题 Char"/>
    <w:link w:val="ac"/>
    <w:qFormat/>
    <w:rPr>
      <w:rFonts w:eastAsia="宋体"/>
      <w:b/>
      <w:bCs/>
      <w:kern w:val="2"/>
      <w:sz w:val="21"/>
      <w:szCs w:val="24"/>
      <w:lang w:val="en-US" w:eastAsia="zh-CN" w:bidi="ar-SA"/>
    </w:rPr>
  </w:style>
  <w:style w:type="character" w:customStyle="1" w:styleId="1Char">
    <w:name w:val="标题 1 Char"/>
    <w:basedOn w:val="a0"/>
    <w:link w:val="1"/>
    <w:qFormat/>
    <w:rPr>
      <w:rFonts w:eastAsia="黑体"/>
      <w:b/>
      <w:bCs/>
      <w:kern w:val="44"/>
      <w:sz w:val="32"/>
      <w:szCs w:val="44"/>
    </w:rPr>
  </w:style>
  <w:style w:type="character" w:customStyle="1" w:styleId="Char4">
    <w:name w:val="脚注文本 Char"/>
    <w:basedOn w:val="a0"/>
    <w:link w:val="aa"/>
    <w:qFormat/>
    <w:rPr>
      <w:sz w:val="18"/>
      <w:szCs w:val="18"/>
    </w:rPr>
  </w:style>
  <w:style w:type="paragraph" w:customStyle="1" w:styleId="12">
    <w:name w:val="修订1"/>
    <w:hidden/>
    <w:uiPriority w:val="99"/>
    <w:semiHidden/>
    <w:qFormat/>
    <w:rPr>
      <w:kern w:val="2"/>
      <w:sz w:val="21"/>
      <w:szCs w:val="24"/>
    </w:rPr>
  </w:style>
  <w:style w:type="paragraph" w:customStyle="1" w:styleId="05">
    <w:name w:val="05正文"/>
    <w:basedOn w:val="a"/>
    <w:link w:val="05Char"/>
    <w:qFormat/>
    <w:pPr>
      <w:spacing w:line="360" w:lineRule="auto"/>
      <w:ind w:firstLineChars="200" w:firstLine="200"/>
    </w:pPr>
    <w:rPr>
      <w:rFonts w:ascii="宋体" w:hAnsi="宋体"/>
      <w:kern w:val="0"/>
      <w:sz w:val="24"/>
    </w:rPr>
  </w:style>
  <w:style w:type="character" w:customStyle="1" w:styleId="05Char">
    <w:name w:val="05正文 Char"/>
    <w:link w:val="05"/>
    <w:qFormat/>
    <w:rPr>
      <w:rFonts w:ascii="宋体" w:hAnsi="宋体"/>
      <w:sz w:val="24"/>
      <w:szCs w:val="24"/>
    </w:rPr>
  </w:style>
  <w:style w:type="paragraph" w:styleId="af3">
    <w:name w:val="Revision"/>
    <w:hidden/>
    <w:uiPriority w:val="99"/>
    <w:semiHidden/>
    <w:rsid w:val="005202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4A4E1-E122-417B-ACDF-3A16FB09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50</Pages>
  <Words>5272</Words>
  <Characters>30051</Characters>
  <Application>Microsoft Office Word</Application>
  <DocSecurity>0</DocSecurity>
  <Lines>250</Lines>
  <Paragraphs>70</Paragraphs>
  <ScaleCrop>false</ScaleCrop>
  <Company>Sky123.Org</Company>
  <LinksUpToDate>false</LinksUpToDate>
  <CharactersWithSpaces>35253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股代码：002230                   A 股简称：科大讯飞</dc:title>
  <dc:creator>zhuyw</dc:creator>
  <cp:lastModifiedBy>微软用户</cp:lastModifiedBy>
  <cp:revision>132</cp:revision>
  <cp:lastPrinted>2012-08-22T07:19:00Z</cp:lastPrinted>
  <dcterms:created xsi:type="dcterms:W3CDTF">2021-04-18T07:31:00Z</dcterms:created>
  <dcterms:modified xsi:type="dcterms:W3CDTF">2022-08-30T05:14:00Z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DF629317BE1048878DB6A620F02A021E</vt:lpwstr>
  </property>
</Properties>
</file>